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739D" w:rsidRDefault="000D6640">
      <w:pPr>
        <w:spacing w:after="120"/>
        <w:jc w:val="center"/>
        <w:rPr>
          <w:sz w:val="28"/>
          <w:szCs w:val="28"/>
        </w:rPr>
      </w:pPr>
      <w:bookmarkStart w:id="0" w:name="_GoBack"/>
      <w:bookmarkEnd w:id="0"/>
      <w:r>
        <w:rPr>
          <w:rFonts w:ascii="Bookman Old Style" w:eastAsia="Bookman Old Style" w:hAnsi="Bookman Old Style" w:cs="Bookman Old Style"/>
          <w:b/>
          <w:bCs/>
          <w:sz w:val="28"/>
          <w:szCs w:val="28"/>
        </w:rPr>
        <w:t>Ver. 3.0</w:t>
      </w:r>
    </w:p>
    <w:p w:rsidR="00E4739D" w:rsidRDefault="000D6640">
      <w:pPr>
        <w:spacing w:after="120"/>
        <w:jc w:val="center"/>
        <w:rPr>
          <w:sz w:val="28"/>
          <w:szCs w:val="28"/>
        </w:rPr>
      </w:pPr>
      <w:r>
        <w:rPr>
          <w:rFonts w:ascii="Bookman Old Style" w:eastAsia="Bookman Old Style" w:hAnsi="Bookman Old Style" w:cs="Bookman Old Style"/>
          <w:b/>
          <w:bCs/>
          <w:sz w:val="28"/>
          <w:szCs w:val="28"/>
        </w:rPr>
        <w:t>COMUNE DI SOLARINO</w:t>
      </w:r>
    </w:p>
    <w:p w:rsidR="00E4739D" w:rsidRDefault="000D6640">
      <w:pPr>
        <w:spacing w:after="40"/>
        <w:jc w:val="center"/>
        <w:rPr>
          <w:rFonts w:ascii="Bookman Old Style" w:eastAsia="Bookman Old Style" w:hAnsi="Bookman Old Style" w:cs="Bookman Old Style"/>
          <w:b/>
          <w:bCs/>
          <w:color w:val="000000"/>
        </w:rPr>
      </w:pPr>
      <w:r>
        <w:rPr>
          <w:rFonts w:ascii="Bookman Old Style" w:eastAsia="Bookman Old Style" w:hAnsi="Bookman Old Style" w:cs="Bookman Old Style"/>
          <w:b/>
          <w:bCs/>
          <w:color w:val="000000"/>
        </w:rPr>
        <w:t>Libero Consorzio Comunale di Siracusa</w:t>
      </w:r>
    </w:p>
    <w:p w:rsidR="00E4739D" w:rsidRDefault="000D6640">
      <w:pPr>
        <w:tabs>
          <w:tab w:val="left" w:pos="7951"/>
        </w:tabs>
        <w:spacing w:after="40" w:line="276" w:lineRule="auto"/>
        <w:ind w:left="757"/>
        <w:jc w:val="both"/>
        <w:rPr>
          <w:rFonts w:ascii="Bookman Old Style" w:eastAsia="Bookman Old Style" w:hAnsi="Bookman Old Style" w:cs="Bookman Old Style"/>
          <w:b/>
          <w:bCs/>
          <w:color w:val="000000"/>
        </w:rPr>
      </w:pPr>
      <w:r>
        <w:rPr>
          <w:rFonts w:ascii="Bookman Old Style" w:eastAsia="Bookman Old Style" w:hAnsi="Bookman Old Style" w:cs="Bookman Old Style"/>
          <w:b/>
          <w:bCs/>
          <w:color w:val="000000"/>
        </w:rPr>
        <w:tab/>
      </w:r>
    </w:p>
    <w:p w:rsidR="00E4739D" w:rsidRDefault="00E4739D">
      <w:pPr>
        <w:spacing w:after="40" w:line="276" w:lineRule="auto"/>
        <w:ind w:left="757"/>
        <w:jc w:val="center"/>
        <w:rPr>
          <w:rFonts w:ascii="Bookman Old Style" w:eastAsia="Bookman Old Style" w:hAnsi="Bookman Old Style" w:cs="Bookman Old Style"/>
          <w:b/>
          <w:bCs/>
          <w:color w:val="000000"/>
        </w:rPr>
      </w:pPr>
    </w:p>
    <w:p w:rsidR="00E4739D" w:rsidRDefault="00E4739D">
      <w:pPr>
        <w:spacing w:after="40" w:line="276" w:lineRule="auto"/>
        <w:ind w:left="757"/>
        <w:jc w:val="center"/>
        <w:rPr>
          <w:rFonts w:ascii="Bookman Old Style" w:eastAsia="Bookman Old Style" w:hAnsi="Bookman Old Style" w:cs="Bookman Old Style"/>
          <w:b/>
          <w:bCs/>
          <w:color w:val="000000"/>
        </w:rPr>
      </w:pPr>
    </w:p>
    <w:p w:rsidR="00E4739D" w:rsidRDefault="000D6640">
      <w:pPr>
        <w:spacing w:after="40" w:line="276" w:lineRule="auto"/>
        <w:ind w:left="757"/>
        <w:jc w:val="center"/>
        <w:rPr>
          <w:rFonts w:ascii="Bookman Old Style" w:eastAsia="Bookman Old Style" w:hAnsi="Bookman Old Style" w:cs="Bookman Old Style"/>
          <w:b/>
          <w:bCs/>
          <w:color w:val="000000"/>
        </w:rPr>
      </w:pPr>
      <w:r>
        <w:rPr>
          <w:rFonts w:ascii="Bookman Old Style" w:eastAsia="Bookman Old Style" w:hAnsi="Bookman Old Style" w:cs="Bookman Old Style"/>
          <w:b/>
          <w:bCs/>
          <w:color w:val="000000"/>
        </w:rPr>
        <w:t>REGOLAMENTO PER LA DEFINIZIONE AGEVOLATA DELLE ENTRATE COMUNALI</w:t>
      </w:r>
    </w:p>
    <w:p w:rsidR="00E4739D" w:rsidRDefault="00E4739D">
      <w:pPr>
        <w:pStyle w:val="Titolo"/>
        <w:spacing w:after="120" w:line="288" w:lineRule="auto"/>
        <w:rPr>
          <w:rFonts w:ascii="Bookman Old Style" w:eastAsia="Bookman Old Style" w:hAnsi="Bookman Old Style" w:cs="Bookman Old Style"/>
          <w:sz w:val="22"/>
          <w:szCs w:val="22"/>
        </w:rPr>
      </w:pPr>
    </w:p>
    <w:p w:rsidR="00E4739D" w:rsidRDefault="00E4739D">
      <w:pPr>
        <w:spacing w:after="120" w:line="288" w:lineRule="auto"/>
        <w:jc w:val="center"/>
        <w:rPr>
          <w:rFonts w:ascii="Bookman Old Style" w:eastAsia="Bookman Old Style" w:hAnsi="Bookman Old Style" w:cs="Bookman Old Style"/>
        </w:rPr>
      </w:pPr>
    </w:p>
    <w:sdt>
      <w:sdtPr>
        <w:rPr>
          <w:rFonts w:ascii="Calibri" w:eastAsia="Calibri" w:hAnsi="Calibri" w:cs="Calibri"/>
          <w:color w:val="auto"/>
          <w:sz w:val="22"/>
          <w:szCs w:val="22"/>
        </w:rPr>
        <w:id w:val="1349676802"/>
        <w:docPartObj>
          <w:docPartGallery w:val="Table of Contents"/>
          <w:docPartUnique/>
        </w:docPartObj>
      </w:sdtPr>
      <w:sdtEndPr/>
      <w:sdtContent>
        <w:p w:rsidR="00E4739D" w:rsidRDefault="000D6640">
          <w:pPr>
            <w:pStyle w:val="Titolosommario"/>
          </w:pPr>
          <w:r>
            <w:t>Sommario</w:t>
          </w:r>
        </w:p>
        <w:p w:rsidR="00E4739D" w:rsidRDefault="000D6640">
          <w:pPr>
            <w:pStyle w:val="Sommario3"/>
            <w:tabs>
              <w:tab w:val="right" w:leader="dot" w:pos="9628"/>
            </w:tabs>
          </w:pPr>
          <w:r>
            <w:fldChar w:fldCharType="begin"/>
          </w:r>
          <w:r>
            <w:rPr>
              <w:rStyle w:val="Collegamentoindice"/>
              <w:rFonts w:ascii="Bookman Old Style" w:eastAsia="Bookman Old Style" w:hAnsi="Bookman Old Style" w:cs="Bookman Old Style"/>
              <w:webHidden/>
            </w:rPr>
            <w:instrText xml:space="preserve"> TOC \z \o "1-3" \u \h</w:instrText>
          </w:r>
          <w:r>
            <w:rPr>
              <w:rStyle w:val="Collegamentoindice"/>
              <w:rFonts w:ascii="Bookman Old Style" w:eastAsia="Bookman Old Style" w:hAnsi="Bookman Old Style" w:cs="Bookman Old Style"/>
            </w:rPr>
            <w:fldChar w:fldCharType="separate"/>
          </w:r>
          <w:hyperlink w:anchor="_Toc226481602">
            <w:r>
              <w:rPr>
                <w:rStyle w:val="Collegamentoindice"/>
                <w:rFonts w:ascii="Bookman Old Style" w:eastAsia="Bookman Old Style" w:hAnsi="Bookman Old Style" w:cs="Bookman Old Style"/>
                <w:webHidden/>
              </w:rPr>
              <w:t xml:space="preserve">PARTE I- DEFINIZIONE AGEVOLATA ENTRATE IN </w:t>
            </w:r>
            <w:r>
              <w:rPr>
                <w:rStyle w:val="Collegamentoindice"/>
                <w:rFonts w:ascii="Bookman Old Style" w:eastAsia="Bookman Old Style" w:hAnsi="Bookman Old Style" w:cs="Bookman Old Style"/>
                <w:webHidden/>
              </w:rPr>
              <w:t>RISCOSSIONE COATTIVA</w:t>
            </w:r>
            <w:r>
              <w:rPr>
                <w:webHidden/>
              </w:rPr>
              <w:fldChar w:fldCharType="begin"/>
            </w:r>
            <w:r>
              <w:rPr>
                <w:webHidden/>
              </w:rPr>
              <w:instrText>PAGEREF _Toc226481602 \h</w:instrText>
            </w:r>
            <w:r>
              <w:rPr>
                <w:webHidden/>
              </w:rPr>
            </w:r>
            <w:r>
              <w:rPr>
                <w:webHidden/>
              </w:rPr>
              <w:fldChar w:fldCharType="separate"/>
            </w:r>
            <w:r>
              <w:rPr>
                <w:rStyle w:val="Collegamentoindice"/>
              </w:rPr>
              <w:tab/>
              <w:t>2</w:t>
            </w:r>
            <w:r>
              <w:rPr>
                <w:webHidden/>
              </w:rPr>
              <w:fldChar w:fldCharType="end"/>
            </w:r>
          </w:hyperlink>
        </w:p>
        <w:p w:rsidR="00E4739D" w:rsidRDefault="000D6640">
          <w:pPr>
            <w:pStyle w:val="Sommario3"/>
            <w:tabs>
              <w:tab w:val="right" w:leader="dot" w:pos="9628"/>
            </w:tabs>
          </w:pPr>
          <w:hyperlink w:anchor="_Toc226481603">
            <w:r>
              <w:rPr>
                <w:rStyle w:val="Collegamentoindice"/>
                <w:rFonts w:ascii="Bookman Old Style" w:eastAsia="Bookman Old Style" w:hAnsi="Bookman Old Style" w:cs="Bookman Old Style"/>
                <w:webHidden/>
              </w:rPr>
              <w:t>Articolo 1 - Oggetto del Regolamento</w:t>
            </w:r>
            <w:r>
              <w:rPr>
                <w:webHidden/>
              </w:rPr>
              <w:fldChar w:fldCharType="begin"/>
            </w:r>
            <w:r>
              <w:rPr>
                <w:webHidden/>
              </w:rPr>
              <w:instrText>PAGEREF _Toc226481603 \h</w:instrText>
            </w:r>
            <w:r>
              <w:rPr>
                <w:webHidden/>
              </w:rPr>
            </w:r>
            <w:r>
              <w:rPr>
                <w:webHidden/>
              </w:rPr>
              <w:fldChar w:fldCharType="separate"/>
            </w:r>
            <w:r>
              <w:rPr>
                <w:rStyle w:val="Collegamentoindice"/>
              </w:rPr>
              <w:tab/>
              <w:t>2</w:t>
            </w:r>
            <w:r>
              <w:rPr>
                <w:webHidden/>
              </w:rPr>
              <w:fldChar w:fldCharType="end"/>
            </w:r>
          </w:hyperlink>
        </w:p>
        <w:p w:rsidR="00E4739D" w:rsidRDefault="000D6640">
          <w:pPr>
            <w:pStyle w:val="Sommario3"/>
            <w:tabs>
              <w:tab w:val="right" w:leader="dot" w:pos="9628"/>
            </w:tabs>
          </w:pPr>
          <w:hyperlink w:anchor="_Toc226481604">
            <w:r>
              <w:rPr>
                <w:rStyle w:val="Collegamentoindice"/>
                <w:rFonts w:ascii="Bookman Old Style" w:eastAsia="Bookman Old Style" w:hAnsi="Bookman Old Style" w:cs="Bookman Old Style"/>
                <w:webHidden/>
              </w:rPr>
              <w:t>Articolo 2 – Oggetto della definizione agevolata</w:t>
            </w:r>
            <w:r>
              <w:rPr>
                <w:webHidden/>
              </w:rPr>
              <w:fldChar w:fldCharType="begin"/>
            </w:r>
            <w:r>
              <w:rPr>
                <w:webHidden/>
              </w:rPr>
              <w:instrText>PAGEREF _Toc226481604 \h</w:instrText>
            </w:r>
            <w:r>
              <w:rPr>
                <w:webHidden/>
              </w:rPr>
            </w:r>
            <w:r>
              <w:rPr>
                <w:webHidden/>
              </w:rPr>
              <w:fldChar w:fldCharType="separate"/>
            </w:r>
            <w:r>
              <w:rPr>
                <w:rStyle w:val="Collegamentoindice"/>
              </w:rPr>
              <w:tab/>
              <w:t>2</w:t>
            </w:r>
            <w:r>
              <w:rPr>
                <w:webHidden/>
              </w:rPr>
              <w:fldChar w:fldCharType="end"/>
            </w:r>
          </w:hyperlink>
        </w:p>
        <w:p w:rsidR="00E4739D" w:rsidRDefault="000D6640">
          <w:pPr>
            <w:pStyle w:val="Sommario3"/>
            <w:tabs>
              <w:tab w:val="right" w:leader="dot" w:pos="9628"/>
            </w:tabs>
          </w:pPr>
          <w:hyperlink w:anchor="_Toc226481605">
            <w:r>
              <w:rPr>
                <w:rStyle w:val="Collegamentoindice"/>
                <w:rFonts w:ascii="Bookman Old Style" w:eastAsia="Bookman Old Style" w:hAnsi="Bookman Old Style" w:cs="Bookman Old Style"/>
                <w:webHidden/>
              </w:rPr>
              <w:t xml:space="preserve">Articolo 3 – </w:t>
            </w:r>
            <w:r>
              <w:rPr>
                <w:rStyle w:val="Collegamentoindice"/>
                <w:rFonts w:ascii="Bookman Old Style" w:eastAsia="Bookman Old Style" w:hAnsi="Bookman Old Style" w:cs="Bookman Old Style"/>
                <w:webHidden/>
              </w:rPr>
              <w:t>Dichiarazione di adesione alla definizione agevolata</w:t>
            </w:r>
            <w:r>
              <w:rPr>
                <w:webHidden/>
              </w:rPr>
              <w:fldChar w:fldCharType="begin"/>
            </w:r>
            <w:r>
              <w:rPr>
                <w:webHidden/>
              </w:rPr>
              <w:instrText>PAGEREF _Toc226481605 \h</w:instrText>
            </w:r>
            <w:r>
              <w:rPr>
                <w:webHidden/>
              </w:rPr>
            </w:r>
            <w:r>
              <w:rPr>
                <w:webHidden/>
              </w:rPr>
              <w:fldChar w:fldCharType="separate"/>
            </w:r>
            <w:r>
              <w:rPr>
                <w:rStyle w:val="Collegamentoindice"/>
              </w:rPr>
              <w:tab/>
              <w:t>2</w:t>
            </w:r>
            <w:r>
              <w:rPr>
                <w:webHidden/>
              </w:rPr>
              <w:fldChar w:fldCharType="end"/>
            </w:r>
          </w:hyperlink>
        </w:p>
        <w:p w:rsidR="00E4739D" w:rsidRDefault="000D6640">
          <w:pPr>
            <w:pStyle w:val="Sommario3"/>
            <w:tabs>
              <w:tab w:val="right" w:leader="dot" w:pos="9628"/>
            </w:tabs>
          </w:pPr>
          <w:hyperlink w:anchor="_Toc226481606">
            <w:r>
              <w:rPr>
                <w:rStyle w:val="Collegamentoindice"/>
                <w:rFonts w:ascii="Bookman Old Style" w:eastAsia="Bookman Old Style" w:hAnsi="Bookman Old Style" w:cs="Bookman Old Style"/>
                <w:webHidden/>
              </w:rPr>
              <w:t>Articolo 4 – Effetti della definizione agevolata</w:t>
            </w:r>
            <w:r>
              <w:rPr>
                <w:webHidden/>
              </w:rPr>
              <w:fldChar w:fldCharType="begin"/>
            </w:r>
            <w:r>
              <w:rPr>
                <w:webHidden/>
              </w:rPr>
              <w:instrText>PAGEREF _Toc226481606 \h</w:instrText>
            </w:r>
            <w:r>
              <w:rPr>
                <w:webHidden/>
              </w:rPr>
            </w:r>
            <w:r>
              <w:rPr>
                <w:webHidden/>
              </w:rPr>
              <w:fldChar w:fldCharType="separate"/>
            </w:r>
            <w:r>
              <w:rPr>
                <w:rStyle w:val="Collegamentoindice"/>
              </w:rPr>
              <w:tab/>
            </w:r>
            <w:r>
              <w:rPr>
                <w:rStyle w:val="Collegamentoindice"/>
              </w:rPr>
              <w:t>4</w:t>
            </w:r>
            <w:r>
              <w:rPr>
                <w:webHidden/>
              </w:rPr>
              <w:fldChar w:fldCharType="end"/>
            </w:r>
          </w:hyperlink>
        </w:p>
        <w:p w:rsidR="00E4739D" w:rsidRDefault="000D6640">
          <w:pPr>
            <w:pStyle w:val="Sommario3"/>
            <w:tabs>
              <w:tab w:val="right" w:leader="dot" w:pos="9628"/>
            </w:tabs>
          </w:pPr>
          <w:hyperlink w:anchor="_Toc226481607">
            <w:r>
              <w:rPr>
                <w:rStyle w:val="Collegamentoindice"/>
                <w:rFonts w:ascii="Bookman Old Style" w:eastAsia="Bookman Old Style" w:hAnsi="Bookman Old Style" w:cs="Bookman Old Style"/>
                <w:webHidden/>
              </w:rPr>
              <w:t>Articolo 5 – Definizione agevolata degli importi oggetto di rateizzazione</w:t>
            </w:r>
            <w:r>
              <w:rPr>
                <w:webHidden/>
              </w:rPr>
              <w:fldChar w:fldCharType="begin"/>
            </w:r>
            <w:r>
              <w:rPr>
                <w:webHidden/>
              </w:rPr>
              <w:instrText>PAGEREF _Toc226481607 \h</w:instrText>
            </w:r>
            <w:r>
              <w:rPr>
                <w:webHidden/>
              </w:rPr>
            </w:r>
            <w:r>
              <w:rPr>
                <w:webHidden/>
              </w:rPr>
              <w:fldChar w:fldCharType="separate"/>
            </w:r>
            <w:r>
              <w:rPr>
                <w:rStyle w:val="Collegamentoindice"/>
              </w:rPr>
              <w:tab/>
              <w:t>4</w:t>
            </w:r>
            <w:r>
              <w:rPr>
                <w:webHidden/>
              </w:rPr>
              <w:fldChar w:fldCharType="end"/>
            </w:r>
          </w:hyperlink>
        </w:p>
        <w:p w:rsidR="00E4739D" w:rsidRDefault="000D6640">
          <w:pPr>
            <w:pStyle w:val="Sommario3"/>
            <w:tabs>
              <w:tab w:val="right" w:leader="dot" w:pos="9628"/>
            </w:tabs>
          </w:pPr>
          <w:hyperlink w:anchor="_Toc226481608">
            <w:r>
              <w:rPr>
                <w:rStyle w:val="Collegamentoindice"/>
                <w:rFonts w:ascii="Bookman Old Style" w:eastAsia="Bookman Old Style" w:hAnsi="Bookman Old Style" w:cs="Bookman Old Style"/>
                <w:webHidden/>
              </w:rPr>
              <w:t>Articolo 6 – Procedure cautelari ed esecutive in corso</w:t>
            </w:r>
            <w:r>
              <w:rPr>
                <w:webHidden/>
              </w:rPr>
              <w:fldChar w:fldCharType="begin"/>
            </w:r>
            <w:r>
              <w:rPr>
                <w:webHidden/>
              </w:rPr>
              <w:instrText>PAGEREF _Toc226481608 \h</w:instrText>
            </w:r>
            <w:r>
              <w:rPr>
                <w:webHidden/>
              </w:rPr>
            </w:r>
            <w:r>
              <w:rPr>
                <w:webHidden/>
              </w:rPr>
              <w:fldChar w:fldCharType="separate"/>
            </w:r>
            <w:r>
              <w:rPr>
                <w:rStyle w:val="Collegamentoindice"/>
              </w:rPr>
              <w:tab/>
              <w:t>4</w:t>
            </w:r>
            <w:r>
              <w:rPr>
                <w:webHidden/>
              </w:rPr>
              <w:fldChar w:fldCharType="end"/>
            </w:r>
          </w:hyperlink>
        </w:p>
        <w:p w:rsidR="00E4739D" w:rsidRDefault="000D6640">
          <w:pPr>
            <w:pStyle w:val="Sommario3"/>
            <w:tabs>
              <w:tab w:val="right" w:leader="dot" w:pos="9628"/>
            </w:tabs>
          </w:pPr>
          <w:hyperlink w:anchor="_Toc226481609">
            <w:r>
              <w:rPr>
                <w:rStyle w:val="Collegamentoindice"/>
                <w:rFonts w:ascii="Bookman Old Style" w:eastAsia="Bookman Old Style" w:hAnsi="Bookman Old Style" w:cs="Bookman Old Style"/>
                <w:webHidden/>
              </w:rPr>
              <w:t>Articolo 7 – Rinunc</w:t>
            </w:r>
            <w:r>
              <w:rPr>
                <w:rStyle w:val="Collegamentoindice"/>
                <w:rFonts w:ascii="Bookman Old Style" w:eastAsia="Bookman Old Style" w:hAnsi="Bookman Old Style" w:cs="Bookman Old Style"/>
                <w:webHidden/>
              </w:rPr>
              <w:t>ia al contenzioso pendente</w:t>
            </w:r>
            <w:r>
              <w:rPr>
                <w:webHidden/>
              </w:rPr>
              <w:fldChar w:fldCharType="begin"/>
            </w:r>
            <w:r>
              <w:rPr>
                <w:webHidden/>
              </w:rPr>
              <w:instrText>PAGEREF _Toc226481609 \h</w:instrText>
            </w:r>
            <w:r>
              <w:rPr>
                <w:webHidden/>
              </w:rPr>
            </w:r>
            <w:r>
              <w:rPr>
                <w:webHidden/>
              </w:rPr>
              <w:fldChar w:fldCharType="separate"/>
            </w:r>
            <w:r>
              <w:rPr>
                <w:rStyle w:val="Collegamentoindice"/>
              </w:rPr>
              <w:tab/>
              <w:t>4</w:t>
            </w:r>
            <w:r>
              <w:rPr>
                <w:webHidden/>
              </w:rPr>
              <w:fldChar w:fldCharType="end"/>
            </w:r>
          </w:hyperlink>
        </w:p>
        <w:p w:rsidR="00E4739D" w:rsidRDefault="000D6640">
          <w:pPr>
            <w:pStyle w:val="Sommario3"/>
            <w:tabs>
              <w:tab w:val="right" w:leader="dot" w:pos="9628"/>
            </w:tabs>
          </w:pPr>
          <w:hyperlink w:anchor="_Toc226481610">
            <w:r>
              <w:rPr>
                <w:rStyle w:val="Collegamentoindice"/>
                <w:rFonts w:ascii="Bookman Old Style" w:eastAsia="Bookman Old Style" w:hAnsi="Bookman Old Style" w:cs="Bookman Old Style"/>
                <w:webHidden/>
              </w:rPr>
              <w:t>Articolo 8 – Entrata in vigore</w:t>
            </w:r>
            <w:r>
              <w:rPr>
                <w:webHidden/>
              </w:rPr>
              <w:fldChar w:fldCharType="begin"/>
            </w:r>
            <w:r>
              <w:rPr>
                <w:webHidden/>
              </w:rPr>
              <w:instrText>PAGEREF _Toc226481610 \h</w:instrText>
            </w:r>
            <w:r>
              <w:rPr>
                <w:webHidden/>
              </w:rPr>
            </w:r>
            <w:r>
              <w:rPr>
                <w:webHidden/>
              </w:rPr>
              <w:fldChar w:fldCharType="separate"/>
            </w:r>
            <w:r>
              <w:rPr>
                <w:rStyle w:val="Collegamentoindice"/>
              </w:rPr>
              <w:tab/>
              <w:t>5</w:t>
            </w:r>
            <w:r>
              <w:rPr>
                <w:webHidden/>
              </w:rPr>
              <w:fldChar w:fldCharType="end"/>
            </w:r>
          </w:hyperlink>
        </w:p>
        <w:p w:rsidR="00E4739D" w:rsidRDefault="000D6640">
          <w:pPr>
            <w:pStyle w:val="Sommario3"/>
            <w:tabs>
              <w:tab w:val="right" w:leader="dot" w:pos="9628"/>
            </w:tabs>
          </w:pPr>
          <w:hyperlink w:anchor="_Toc226481611">
            <w:r>
              <w:rPr>
                <w:rStyle w:val="Collegamentoindice"/>
                <w:rFonts w:ascii="Bookman Old Style" w:eastAsia="Bookman Old Style" w:hAnsi="Bookman Old Style" w:cs="Bookman Old Style"/>
                <w:webHidden/>
              </w:rPr>
              <w:t>PARTE II- DEFINIZIONE AGEVOLATA DELLE LITI PENDENTI</w:t>
            </w:r>
            <w:r>
              <w:rPr>
                <w:webHidden/>
              </w:rPr>
              <w:fldChar w:fldCharType="begin"/>
            </w:r>
            <w:r>
              <w:rPr>
                <w:webHidden/>
              </w:rPr>
              <w:instrText>PAGEREF _Toc226481611 \h</w:instrText>
            </w:r>
            <w:r>
              <w:rPr>
                <w:webHidden/>
              </w:rPr>
            </w:r>
            <w:r>
              <w:rPr>
                <w:webHidden/>
              </w:rPr>
              <w:fldChar w:fldCharType="separate"/>
            </w:r>
            <w:r>
              <w:rPr>
                <w:rStyle w:val="Collegamentoindice"/>
              </w:rPr>
              <w:tab/>
              <w:t>6</w:t>
            </w:r>
            <w:r>
              <w:rPr>
                <w:webHidden/>
              </w:rPr>
              <w:fldChar w:fldCharType="end"/>
            </w:r>
          </w:hyperlink>
        </w:p>
        <w:p w:rsidR="00E4739D" w:rsidRDefault="000D6640">
          <w:pPr>
            <w:pStyle w:val="Sommario3"/>
            <w:tabs>
              <w:tab w:val="right" w:leader="dot" w:pos="9628"/>
            </w:tabs>
          </w:pPr>
          <w:hyperlink w:anchor="_Toc226481612">
            <w:r>
              <w:rPr>
                <w:rStyle w:val="Collegamentoindice"/>
                <w:rFonts w:ascii="Bookman Old Style" w:eastAsia="Bookman Old Style" w:hAnsi="Bookman Old Style" w:cs="Bookman Old Style"/>
                <w:webHidden/>
              </w:rPr>
              <w:t>Articolo 1 - Oggetto del Regolamento</w:t>
            </w:r>
            <w:r>
              <w:rPr>
                <w:webHidden/>
              </w:rPr>
              <w:fldChar w:fldCharType="begin"/>
            </w:r>
            <w:r>
              <w:rPr>
                <w:webHidden/>
              </w:rPr>
              <w:instrText>PAGEREF _Toc226481612 \h</w:instrText>
            </w:r>
            <w:r>
              <w:rPr>
                <w:webHidden/>
              </w:rPr>
            </w:r>
            <w:r>
              <w:rPr>
                <w:webHidden/>
              </w:rPr>
              <w:fldChar w:fldCharType="separate"/>
            </w:r>
            <w:r>
              <w:rPr>
                <w:rStyle w:val="Collegamentoindice"/>
              </w:rPr>
              <w:tab/>
              <w:t>6</w:t>
            </w:r>
            <w:r>
              <w:rPr>
                <w:webHidden/>
              </w:rPr>
              <w:fldChar w:fldCharType="end"/>
            </w:r>
          </w:hyperlink>
        </w:p>
        <w:p w:rsidR="00E4739D" w:rsidRDefault="000D6640">
          <w:pPr>
            <w:pStyle w:val="Sommario3"/>
            <w:tabs>
              <w:tab w:val="right" w:leader="dot" w:pos="9628"/>
            </w:tabs>
          </w:pPr>
          <w:hyperlink w:anchor="_Toc226481613">
            <w:r>
              <w:rPr>
                <w:rStyle w:val="Collegamentoindice"/>
                <w:rFonts w:ascii="Bookman Old Style" w:eastAsia="Bookman Old Style" w:hAnsi="Bookman Old Style" w:cs="Bookman Old Style"/>
                <w:webHidden/>
              </w:rPr>
              <w:t>Articolo 2 – Oggetto della definizione agevolata</w:t>
            </w:r>
            <w:r>
              <w:rPr>
                <w:webHidden/>
              </w:rPr>
              <w:fldChar w:fldCharType="begin"/>
            </w:r>
            <w:r>
              <w:rPr>
                <w:webHidden/>
              </w:rPr>
              <w:instrText>PAGEREF _Toc226481613 \h</w:instrText>
            </w:r>
            <w:r>
              <w:rPr>
                <w:webHidden/>
              </w:rPr>
            </w:r>
            <w:r>
              <w:rPr>
                <w:webHidden/>
              </w:rPr>
              <w:fldChar w:fldCharType="separate"/>
            </w:r>
            <w:r>
              <w:rPr>
                <w:rStyle w:val="Collegamentoindice"/>
              </w:rPr>
              <w:tab/>
              <w:t>6</w:t>
            </w:r>
            <w:r>
              <w:rPr>
                <w:webHidden/>
              </w:rPr>
              <w:fldChar w:fldCharType="end"/>
            </w:r>
          </w:hyperlink>
        </w:p>
        <w:p w:rsidR="00E4739D" w:rsidRDefault="000D6640">
          <w:pPr>
            <w:pStyle w:val="Sommario3"/>
            <w:tabs>
              <w:tab w:val="right" w:leader="dot" w:pos="9628"/>
            </w:tabs>
          </w:pPr>
          <w:hyperlink w:anchor="_Toc226481614">
            <w:r>
              <w:rPr>
                <w:rStyle w:val="Collegamentoindice"/>
                <w:rFonts w:ascii="Bookman Old Style" w:eastAsia="Bookman Old Style" w:hAnsi="Bookman Old Style" w:cs="Bookman Old Style"/>
                <w:webHidden/>
              </w:rPr>
              <w:t>Articolo 3 – Termini e modalità di presenta</w:t>
            </w:r>
            <w:r>
              <w:rPr>
                <w:rStyle w:val="Collegamentoindice"/>
                <w:rFonts w:ascii="Bookman Old Style" w:eastAsia="Bookman Old Style" w:hAnsi="Bookman Old Style" w:cs="Bookman Old Style"/>
                <w:webHidden/>
              </w:rPr>
              <w:t>zione della domanda</w:t>
            </w:r>
            <w:r>
              <w:rPr>
                <w:webHidden/>
              </w:rPr>
              <w:fldChar w:fldCharType="begin"/>
            </w:r>
            <w:r>
              <w:rPr>
                <w:webHidden/>
              </w:rPr>
              <w:instrText>PAGEREF _Toc226481614 \h</w:instrText>
            </w:r>
            <w:r>
              <w:rPr>
                <w:webHidden/>
              </w:rPr>
            </w:r>
            <w:r>
              <w:rPr>
                <w:webHidden/>
              </w:rPr>
              <w:fldChar w:fldCharType="separate"/>
            </w:r>
            <w:r>
              <w:rPr>
                <w:rStyle w:val="Collegamentoindice"/>
              </w:rPr>
              <w:tab/>
              <w:t>6</w:t>
            </w:r>
            <w:r>
              <w:rPr>
                <w:webHidden/>
              </w:rPr>
              <w:fldChar w:fldCharType="end"/>
            </w:r>
          </w:hyperlink>
        </w:p>
        <w:p w:rsidR="00E4739D" w:rsidRDefault="000D6640">
          <w:pPr>
            <w:pStyle w:val="Sommario3"/>
            <w:tabs>
              <w:tab w:val="right" w:leader="dot" w:pos="9628"/>
            </w:tabs>
          </w:pPr>
          <w:hyperlink w:anchor="_Toc226481615">
            <w:r>
              <w:rPr>
                <w:rStyle w:val="Collegamentoindice"/>
                <w:rFonts w:ascii="Bookman Old Style" w:eastAsia="Bookman Old Style" w:hAnsi="Bookman Old Style" w:cs="Bookman Old Style"/>
                <w:webHidden/>
              </w:rPr>
              <w:t>Articolo 4 – Importi dovuti</w:t>
            </w:r>
            <w:r>
              <w:rPr>
                <w:webHidden/>
              </w:rPr>
              <w:fldChar w:fldCharType="begin"/>
            </w:r>
            <w:r>
              <w:rPr>
                <w:webHidden/>
              </w:rPr>
              <w:instrText>PAGEREF _Toc226481615 \h</w:instrText>
            </w:r>
            <w:r>
              <w:rPr>
                <w:webHidden/>
              </w:rPr>
            </w:r>
            <w:r>
              <w:rPr>
                <w:webHidden/>
              </w:rPr>
              <w:fldChar w:fldCharType="separate"/>
            </w:r>
            <w:r>
              <w:rPr>
                <w:rStyle w:val="Collegamentoindice"/>
              </w:rPr>
              <w:tab/>
              <w:t>6</w:t>
            </w:r>
            <w:r>
              <w:rPr>
                <w:webHidden/>
              </w:rPr>
              <w:fldChar w:fldCharType="end"/>
            </w:r>
          </w:hyperlink>
        </w:p>
        <w:p w:rsidR="00E4739D" w:rsidRDefault="000D6640">
          <w:pPr>
            <w:pStyle w:val="Sommario3"/>
            <w:tabs>
              <w:tab w:val="right" w:leader="dot" w:pos="9628"/>
            </w:tabs>
          </w:pPr>
          <w:hyperlink w:anchor="_Toc226481616">
            <w:r>
              <w:rPr>
                <w:rStyle w:val="Collegamentoindice"/>
                <w:rFonts w:ascii="Bookman Old Style" w:eastAsia="Bookman Old Style" w:hAnsi="Bookman Old Style" w:cs="Bookman Old Style"/>
                <w:webHidden/>
              </w:rPr>
              <w:t>Articolo 5 – Perfezionamento della definizione</w:t>
            </w:r>
            <w:r>
              <w:rPr>
                <w:webHidden/>
              </w:rPr>
              <w:fldChar w:fldCharType="begin"/>
            </w:r>
            <w:r>
              <w:rPr>
                <w:webHidden/>
              </w:rPr>
              <w:instrText>PAGEREF _Toc226481616 \h</w:instrText>
            </w:r>
            <w:r>
              <w:rPr>
                <w:webHidden/>
              </w:rPr>
            </w:r>
            <w:r>
              <w:rPr>
                <w:webHidden/>
              </w:rPr>
              <w:fldChar w:fldCharType="separate"/>
            </w:r>
            <w:r>
              <w:rPr>
                <w:rStyle w:val="Collegamentoindice"/>
              </w:rPr>
              <w:tab/>
              <w:t>7</w:t>
            </w:r>
            <w:r>
              <w:rPr>
                <w:webHidden/>
              </w:rPr>
              <w:fldChar w:fldCharType="end"/>
            </w:r>
          </w:hyperlink>
        </w:p>
        <w:p w:rsidR="00E4739D" w:rsidRDefault="000D6640">
          <w:pPr>
            <w:pStyle w:val="Sommario3"/>
            <w:tabs>
              <w:tab w:val="right" w:leader="dot" w:pos="9628"/>
            </w:tabs>
          </w:pPr>
          <w:hyperlink w:anchor="_Toc226481617">
            <w:r>
              <w:rPr>
                <w:rStyle w:val="Collegamentoindice"/>
                <w:rFonts w:ascii="Bookman Old Style" w:eastAsia="Bookman Old Style" w:hAnsi="Bookman Old Style" w:cs="Bookman Old Style"/>
                <w:webHidden/>
              </w:rPr>
              <w:t>Articolo 6 – Diniego della de</w:t>
            </w:r>
            <w:r>
              <w:rPr>
                <w:rStyle w:val="Collegamentoindice"/>
                <w:rFonts w:ascii="Bookman Old Style" w:eastAsia="Bookman Old Style" w:hAnsi="Bookman Old Style" w:cs="Bookman Old Style"/>
                <w:webHidden/>
              </w:rPr>
              <w:t>finizione</w:t>
            </w:r>
            <w:r>
              <w:rPr>
                <w:webHidden/>
              </w:rPr>
              <w:fldChar w:fldCharType="begin"/>
            </w:r>
            <w:r>
              <w:rPr>
                <w:webHidden/>
              </w:rPr>
              <w:instrText>PAGEREF _Toc226481617 \h</w:instrText>
            </w:r>
            <w:r>
              <w:rPr>
                <w:webHidden/>
              </w:rPr>
            </w:r>
            <w:r>
              <w:rPr>
                <w:webHidden/>
              </w:rPr>
              <w:fldChar w:fldCharType="separate"/>
            </w:r>
            <w:r>
              <w:rPr>
                <w:rStyle w:val="Collegamentoindice"/>
              </w:rPr>
              <w:tab/>
              <w:t>8</w:t>
            </w:r>
            <w:r>
              <w:rPr>
                <w:webHidden/>
              </w:rPr>
              <w:fldChar w:fldCharType="end"/>
            </w:r>
          </w:hyperlink>
        </w:p>
        <w:p w:rsidR="00E4739D" w:rsidRDefault="000D6640">
          <w:pPr>
            <w:pStyle w:val="Sommario3"/>
            <w:tabs>
              <w:tab w:val="right" w:leader="dot" w:pos="9628"/>
            </w:tabs>
          </w:pPr>
          <w:hyperlink w:anchor="_Toc226481618">
            <w:r>
              <w:rPr>
                <w:rStyle w:val="Collegamentoindice"/>
                <w:rFonts w:ascii="Bookman Old Style" w:eastAsia="Bookman Old Style" w:hAnsi="Bookman Old Style" w:cs="Bookman Old Style"/>
                <w:webHidden/>
              </w:rPr>
              <w:t>Articolo 7 – Sospensione del processo</w:t>
            </w:r>
            <w:r>
              <w:rPr>
                <w:webHidden/>
              </w:rPr>
              <w:fldChar w:fldCharType="begin"/>
            </w:r>
            <w:r>
              <w:rPr>
                <w:webHidden/>
              </w:rPr>
              <w:instrText>PAGEREF _Toc226481618 \h</w:instrText>
            </w:r>
            <w:r>
              <w:rPr>
                <w:webHidden/>
              </w:rPr>
            </w:r>
            <w:r>
              <w:rPr>
                <w:webHidden/>
              </w:rPr>
              <w:fldChar w:fldCharType="separate"/>
            </w:r>
            <w:r>
              <w:rPr>
                <w:rStyle w:val="Collegamentoindice"/>
              </w:rPr>
              <w:tab/>
              <w:t>8</w:t>
            </w:r>
            <w:r>
              <w:rPr>
                <w:webHidden/>
              </w:rPr>
              <w:fldChar w:fldCharType="end"/>
            </w:r>
          </w:hyperlink>
        </w:p>
        <w:p w:rsidR="00E4739D" w:rsidRDefault="000D6640">
          <w:pPr>
            <w:pStyle w:val="Sommario3"/>
            <w:tabs>
              <w:tab w:val="right" w:leader="dot" w:pos="9628"/>
            </w:tabs>
          </w:pPr>
          <w:hyperlink w:anchor="_Toc226481619">
            <w:r>
              <w:rPr>
                <w:rStyle w:val="Collegamentoindice"/>
                <w:rFonts w:ascii="Bookman Old Style" w:eastAsia="Bookman Old Style" w:hAnsi="Bookman Old Style" w:cs="Bookman Old Style"/>
                <w:webHidden/>
              </w:rPr>
              <w:t>Articolo 8 – Entrata in vigore</w:t>
            </w:r>
            <w:r>
              <w:rPr>
                <w:webHidden/>
              </w:rPr>
              <w:fldChar w:fldCharType="begin"/>
            </w:r>
            <w:r>
              <w:rPr>
                <w:webHidden/>
              </w:rPr>
              <w:instrText>PAGEREF _Toc226481619 \h</w:instrText>
            </w:r>
            <w:r>
              <w:rPr>
                <w:webHidden/>
              </w:rPr>
            </w:r>
            <w:r>
              <w:rPr>
                <w:webHidden/>
              </w:rPr>
              <w:fldChar w:fldCharType="separate"/>
            </w:r>
            <w:r>
              <w:rPr>
                <w:rStyle w:val="Collegamentoindice"/>
              </w:rPr>
              <w:tab/>
              <w:t>8</w:t>
            </w:r>
            <w:r>
              <w:rPr>
                <w:webHidden/>
              </w:rPr>
              <w:fldChar w:fldCharType="end"/>
            </w:r>
          </w:hyperlink>
        </w:p>
        <w:p w:rsidR="00E4739D" w:rsidRDefault="000D6640">
          <w:pPr>
            <w:pStyle w:val="Sommario3"/>
            <w:tabs>
              <w:tab w:val="right" w:leader="dot" w:pos="9628"/>
            </w:tabs>
          </w:pPr>
          <w:hyperlink w:anchor="_Toc226481620">
            <w:r>
              <w:rPr>
                <w:rStyle w:val="Collegamentoindice"/>
                <w:rFonts w:ascii="Bookman Old Style" w:eastAsia="Bookman Old Style" w:hAnsi="Bookman Old Style" w:cs="Bookman Old Style"/>
                <w:webHidden/>
              </w:rPr>
              <w:t>PARTE III- CONCILIAZIONE AGEVOLATA DEI RICORSI</w:t>
            </w:r>
            <w:r>
              <w:rPr>
                <w:webHidden/>
              </w:rPr>
              <w:fldChar w:fldCharType="begin"/>
            </w:r>
            <w:r>
              <w:rPr>
                <w:webHidden/>
              </w:rPr>
              <w:instrText>PAGEREF _Toc226481620 \h</w:instrText>
            </w:r>
            <w:r>
              <w:rPr>
                <w:webHidden/>
              </w:rPr>
            </w:r>
            <w:r>
              <w:rPr>
                <w:webHidden/>
              </w:rPr>
              <w:fldChar w:fldCharType="separate"/>
            </w:r>
            <w:r>
              <w:rPr>
                <w:rStyle w:val="Collegamentoindice"/>
              </w:rPr>
              <w:tab/>
              <w:t>9</w:t>
            </w:r>
            <w:r>
              <w:rPr>
                <w:webHidden/>
              </w:rPr>
              <w:fldChar w:fldCharType="end"/>
            </w:r>
          </w:hyperlink>
        </w:p>
        <w:p w:rsidR="00E4739D" w:rsidRDefault="000D6640">
          <w:pPr>
            <w:pStyle w:val="Sommario3"/>
            <w:tabs>
              <w:tab w:val="right" w:leader="dot" w:pos="9628"/>
            </w:tabs>
          </w:pPr>
          <w:hyperlink w:anchor="_Toc226481621">
            <w:r>
              <w:rPr>
                <w:rStyle w:val="Collegamentoindice"/>
                <w:rFonts w:ascii="Bookman Old Style" w:eastAsia="Bookman Old Style" w:hAnsi="Bookman Old Style" w:cs="Bookman Old Style"/>
                <w:webHidden/>
              </w:rPr>
              <w:t>Articolo 1 - Oggetto del Regolamento</w:t>
            </w:r>
            <w:r>
              <w:rPr>
                <w:webHidden/>
              </w:rPr>
              <w:fldChar w:fldCharType="begin"/>
            </w:r>
            <w:r>
              <w:rPr>
                <w:webHidden/>
              </w:rPr>
              <w:instrText>PAGEREF _Toc226481621 \h</w:instrText>
            </w:r>
            <w:r>
              <w:rPr>
                <w:webHidden/>
              </w:rPr>
            </w:r>
            <w:r>
              <w:rPr>
                <w:webHidden/>
              </w:rPr>
              <w:fldChar w:fldCharType="separate"/>
            </w:r>
            <w:r>
              <w:rPr>
                <w:rStyle w:val="Collegamentoindice"/>
              </w:rPr>
              <w:tab/>
              <w:t>9</w:t>
            </w:r>
            <w:r>
              <w:rPr>
                <w:webHidden/>
              </w:rPr>
              <w:fldChar w:fldCharType="end"/>
            </w:r>
          </w:hyperlink>
        </w:p>
        <w:p w:rsidR="00E4739D" w:rsidRDefault="000D6640">
          <w:pPr>
            <w:pStyle w:val="Sommario3"/>
            <w:tabs>
              <w:tab w:val="right" w:leader="dot" w:pos="9628"/>
            </w:tabs>
          </w:pPr>
          <w:hyperlink w:anchor="_Toc226481622">
            <w:r>
              <w:rPr>
                <w:rStyle w:val="Collegamentoindice"/>
                <w:rFonts w:ascii="Bookman Old Style" w:eastAsia="Bookman Old Style" w:hAnsi="Bookman Old Style" w:cs="Bookman Old Style"/>
                <w:webHidden/>
              </w:rPr>
              <w:t>Articolo 2 – Oggetto della definizione agevolata</w:t>
            </w:r>
            <w:r>
              <w:rPr>
                <w:webHidden/>
              </w:rPr>
              <w:fldChar w:fldCharType="begin"/>
            </w:r>
            <w:r>
              <w:rPr>
                <w:webHidden/>
              </w:rPr>
              <w:instrText>PAGEREF _Toc226481622 \h</w:instrText>
            </w:r>
            <w:r>
              <w:rPr>
                <w:webHidden/>
              </w:rPr>
            </w:r>
            <w:r>
              <w:rPr>
                <w:webHidden/>
              </w:rPr>
              <w:fldChar w:fldCharType="separate"/>
            </w:r>
            <w:r>
              <w:rPr>
                <w:rStyle w:val="Collegamentoindice"/>
              </w:rPr>
              <w:tab/>
              <w:t>9</w:t>
            </w:r>
            <w:r>
              <w:rPr>
                <w:webHidden/>
              </w:rPr>
              <w:fldChar w:fldCharType="end"/>
            </w:r>
          </w:hyperlink>
        </w:p>
        <w:p w:rsidR="00E4739D" w:rsidRDefault="000D6640">
          <w:pPr>
            <w:pStyle w:val="Sommario3"/>
            <w:tabs>
              <w:tab w:val="right" w:leader="dot" w:pos="9628"/>
            </w:tabs>
          </w:pPr>
          <w:hyperlink w:anchor="_Toc226481623">
            <w:r>
              <w:rPr>
                <w:rStyle w:val="Collegamentoindice"/>
                <w:rFonts w:ascii="Bookman Old Style" w:eastAsia="Bookman Old Style" w:hAnsi="Bookman Old Style" w:cs="Bookman Old Style"/>
                <w:webHidden/>
              </w:rPr>
              <w:t>Articolo 3 – Conciliazione agevolata</w:t>
            </w:r>
            <w:r>
              <w:rPr>
                <w:webHidden/>
              </w:rPr>
              <w:fldChar w:fldCharType="begin"/>
            </w:r>
            <w:r>
              <w:rPr>
                <w:webHidden/>
              </w:rPr>
              <w:instrText>PAGEREF _Toc226481623 \h</w:instrText>
            </w:r>
            <w:r>
              <w:rPr>
                <w:webHidden/>
              </w:rPr>
            </w:r>
            <w:r>
              <w:rPr>
                <w:webHidden/>
              </w:rPr>
              <w:fldChar w:fldCharType="separate"/>
            </w:r>
            <w:r>
              <w:rPr>
                <w:rStyle w:val="Collegamentoindice"/>
              </w:rPr>
              <w:tab/>
              <w:t>9</w:t>
            </w:r>
            <w:r>
              <w:rPr>
                <w:webHidden/>
              </w:rPr>
              <w:fldChar w:fldCharType="end"/>
            </w:r>
          </w:hyperlink>
        </w:p>
        <w:p w:rsidR="00E4739D" w:rsidRDefault="000D6640">
          <w:pPr>
            <w:pStyle w:val="Sommario3"/>
            <w:tabs>
              <w:tab w:val="right" w:leader="dot" w:pos="9628"/>
            </w:tabs>
          </w:pPr>
          <w:hyperlink w:anchor="_Toc226481624">
            <w:r>
              <w:rPr>
                <w:rStyle w:val="Collegamentoindice"/>
                <w:rFonts w:ascii="Bookman Old Style" w:eastAsia="Bookman Old Style" w:hAnsi="Bookman Old Style" w:cs="Bookman Old Style"/>
                <w:webHidden/>
              </w:rPr>
              <w:t>Articolo 4 – Entrata in vigore</w:t>
            </w:r>
            <w:r>
              <w:rPr>
                <w:webHidden/>
              </w:rPr>
              <w:fldChar w:fldCharType="begin"/>
            </w:r>
            <w:r>
              <w:rPr>
                <w:webHidden/>
              </w:rPr>
              <w:instrText>PAGEREF _Toc226481624 \h</w:instrText>
            </w:r>
            <w:r>
              <w:rPr>
                <w:webHidden/>
              </w:rPr>
            </w:r>
            <w:r>
              <w:rPr>
                <w:webHidden/>
              </w:rPr>
              <w:fldChar w:fldCharType="separate"/>
            </w:r>
            <w:r>
              <w:rPr>
                <w:rStyle w:val="Collegamentoindice"/>
              </w:rPr>
              <w:tab/>
              <w:t>10</w:t>
            </w:r>
            <w:r>
              <w:rPr>
                <w:webHidden/>
              </w:rPr>
              <w:fldChar w:fldCharType="end"/>
            </w:r>
          </w:hyperlink>
        </w:p>
        <w:p w:rsidR="00E4739D" w:rsidRDefault="000D6640">
          <w:r>
            <w:fldChar w:fldCharType="end"/>
          </w:r>
        </w:p>
      </w:sdtContent>
    </w:sdt>
    <w:p w:rsidR="00E4739D" w:rsidRDefault="00E4739D">
      <w:pPr>
        <w:rPr>
          <w:rFonts w:ascii="Bookman Old Style" w:eastAsia="Bookman Old Style" w:hAnsi="Bookman Old Style" w:cs="Bookman Old Style"/>
        </w:rPr>
      </w:pPr>
    </w:p>
    <w:p w:rsidR="00E4739D" w:rsidRDefault="000D6640">
      <w:pPr>
        <w:spacing w:after="120" w:line="288" w:lineRule="auto"/>
        <w:jc w:val="center"/>
        <w:rPr>
          <w:rFonts w:ascii="Bookman Old Style" w:eastAsia="Bookman Old Style" w:hAnsi="Bookman Old Style" w:cs="Bookman Old Style"/>
        </w:rPr>
      </w:pPr>
      <w:r>
        <w:br w:type="page"/>
      </w:r>
    </w:p>
    <w:p w:rsidR="00E4739D" w:rsidRDefault="000D6640">
      <w:pPr>
        <w:pStyle w:val="Titolo3"/>
        <w:spacing w:after="120" w:line="288" w:lineRule="auto"/>
        <w:rPr>
          <w:rFonts w:ascii="Bookman Old Style" w:eastAsia="Bookman Old Style" w:hAnsi="Bookman Old Style" w:cs="Bookman Old Style"/>
        </w:rPr>
      </w:pPr>
      <w:bookmarkStart w:id="1" w:name="_Toc226481602"/>
      <w:r>
        <w:rPr>
          <w:rFonts w:ascii="Bookman Old Style" w:eastAsia="Bookman Old Style" w:hAnsi="Bookman Old Style" w:cs="Bookman Old Style"/>
        </w:rPr>
        <w:lastRenderedPageBreak/>
        <w:t>PARTE I- DEFINIZIONE AGEVOLATA ENTRATE IN RISCOSSIONE COATTIVA</w:t>
      </w:r>
      <w:bookmarkEnd w:id="1"/>
    </w:p>
    <w:p w:rsidR="00E4739D" w:rsidRDefault="00E4739D">
      <w:pPr>
        <w:spacing w:after="120" w:line="288" w:lineRule="auto"/>
        <w:jc w:val="center"/>
        <w:rPr>
          <w:rFonts w:ascii="Bookman Old Style" w:eastAsia="Bookman Old Style" w:hAnsi="Bookman Old Style" w:cs="Bookman Old Style"/>
        </w:rPr>
      </w:pPr>
    </w:p>
    <w:p w:rsidR="00E4739D" w:rsidRDefault="000D6640">
      <w:pPr>
        <w:pStyle w:val="Titolo3"/>
        <w:spacing w:after="120" w:line="288" w:lineRule="auto"/>
        <w:jc w:val="both"/>
        <w:rPr>
          <w:rFonts w:ascii="Bookman Old Style" w:eastAsia="Bookman Old Style" w:hAnsi="Bookman Old Style" w:cs="Bookman Old Style"/>
          <w:i/>
          <w:iCs/>
          <w:sz w:val="22"/>
          <w:szCs w:val="22"/>
        </w:rPr>
      </w:pPr>
      <w:bookmarkStart w:id="2" w:name="_Toc226481603"/>
      <w:r>
        <w:rPr>
          <w:rFonts w:ascii="Bookman Old Style" w:eastAsia="Bookman Old Style" w:hAnsi="Bookman Old Style" w:cs="Bookman Old Style"/>
          <w:sz w:val="22"/>
          <w:szCs w:val="22"/>
        </w:rPr>
        <w:t>Articolo 1 - Oggetto del Regolamento</w:t>
      </w:r>
      <w:bookmarkEnd w:id="2"/>
      <w:r>
        <w:rPr>
          <w:rFonts w:ascii="Bookman Old Style" w:eastAsia="Bookman Old Style" w:hAnsi="Bookman Old Style" w:cs="Bookman Old Style"/>
          <w:i/>
          <w:iCs/>
          <w:sz w:val="22"/>
          <w:szCs w:val="22"/>
        </w:rPr>
        <w:t xml:space="preserve"> </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1. Il presente regolamento adottato nell'ambito della potestà prevista dall’articolo 52 del </w:t>
      </w:r>
      <w:r>
        <w:rPr>
          <w:rFonts w:ascii="Bookman Old Style" w:eastAsia="Bookman Old Style" w:hAnsi="Bookman Old Style" w:cs="Bookman Old Style"/>
          <w:color w:val="000000"/>
        </w:rPr>
        <w:t>decreto legislativo 15 dicembre 1997, n. 446 ed in attuazione dell’articolo 1, commi da 102 a 110 della legge 30 dicembre 2025, n. 199, disciplina la definizione agevolata delle entrate comunali, anche tributarie, non riscosse anche a seguito di provvedime</w:t>
      </w:r>
      <w:r>
        <w:rPr>
          <w:rFonts w:ascii="Bookman Old Style" w:eastAsia="Bookman Old Style" w:hAnsi="Bookman Old Style" w:cs="Bookman Old Style"/>
          <w:color w:val="000000"/>
        </w:rPr>
        <w:t>nti di ingiunzioni di pagamento di cui al regio decreto 14 aprile 1910, n. 639, di accertamenti esecutivi di cui all’articolo 1, comma 792, legge 27 dicembre 2019, n. 160, nonché da invito ordinario di pagamento, notificati alla data del 31 dicembre 2025.</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2. Il presente regolamento si conforma ai principi dello Statuto dei diritti del contribuente di cui alla Legge 27 luglio 2000, n. 212.</w:t>
      </w:r>
    </w:p>
    <w:p w:rsidR="00E4739D" w:rsidRDefault="00E4739D">
      <w:pPr>
        <w:tabs>
          <w:tab w:val="left" w:pos="0"/>
        </w:tabs>
        <w:spacing w:after="12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3" w:name="_Toc226481604"/>
      <w:r>
        <w:rPr>
          <w:rFonts w:ascii="Bookman Old Style" w:eastAsia="Bookman Old Style" w:hAnsi="Bookman Old Style" w:cs="Bookman Old Style"/>
          <w:sz w:val="22"/>
          <w:szCs w:val="22"/>
        </w:rPr>
        <w:t>Articolo 2 – Oggetto della definizione agevolata</w:t>
      </w:r>
      <w:bookmarkEnd w:id="3"/>
      <w:r>
        <w:rPr>
          <w:rFonts w:ascii="Bookman Old Style" w:eastAsia="Bookman Old Style" w:hAnsi="Bookman Old Style" w:cs="Bookman Old Style"/>
          <w:sz w:val="22"/>
          <w:szCs w:val="22"/>
        </w:rPr>
        <w:t xml:space="preserve"> </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1. I debiti risultanti da ingiunzioni di pagamento, da accertamenti e</w:t>
      </w:r>
      <w:r>
        <w:rPr>
          <w:rFonts w:ascii="Bookman Old Style" w:eastAsia="Bookman Old Style" w:hAnsi="Bookman Old Style" w:cs="Bookman Old Style"/>
          <w:color w:val="000000"/>
        </w:rPr>
        <w:t>secutivi relativi al periodo dal 1° gennaio 2000 al 31 dicembre 2023 possono essere estinti versando le somme dovute a titolo di capitale e quelle maturate a titolo di rimborso delle spese per le procedure esecutive e cautelari e di notificazione degli att</w:t>
      </w:r>
      <w:r>
        <w:rPr>
          <w:rFonts w:ascii="Bookman Old Style" w:eastAsia="Bookman Old Style" w:hAnsi="Bookman Old Style" w:cs="Bookman Old Style"/>
          <w:color w:val="000000"/>
        </w:rPr>
        <w:t>i.</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2. Per le sanzioni amministrative, comprese quelle per violazioni del Codice della strada, di cui al decreto legislativo 30 aprile 1992, n. 285, diverse da quelle irrogate per violazioni tributarie, le disposizioni del presente articolo si applicano </w:t>
      </w:r>
      <w:r>
        <w:rPr>
          <w:rFonts w:ascii="Bookman Old Style" w:eastAsia="Bookman Old Style" w:hAnsi="Bookman Old Style" w:cs="Bookman Old Style"/>
          <w:color w:val="000000"/>
        </w:rPr>
        <w:t>limitatamente agli interessi, inclusi quelli di mora, alle maggiorazioni di cui all’articolo 27, sesto comma, della legge 24 novembre 1981, n. 689, e alle somme maturate a titolo di oneri della riscossione.</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4. La definizione agevolata prevista dal presente</w:t>
      </w:r>
      <w:r>
        <w:rPr>
          <w:rFonts w:ascii="Bookman Old Style" w:eastAsia="Bookman Old Style" w:hAnsi="Bookman Old Style" w:cs="Bookman Old Style"/>
          <w:color w:val="000000"/>
        </w:rPr>
        <w:t xml:space="preserve"> articolo può riguardare il singolo debito incluso una ingiunzione di pagamento o accertamento esecutivo.</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5. Sono esclusi dalla definizione di cui al comma 1:</w:t>
      </w:r>
    </w:p>
    <w:p w:rsidR="00E4739D" w:rsidRDefault="000D6640">
      <w:pPr>
        <w:numPr>
          <w:ilvl w:val="0"/>
          <w:numId w:val="3"/>
        </w:numPr>
        <w:tabs>
          <w:tab w:val="left" w:pos="0"/>
        </w:tabs>
        <w:spacing w:line="288" w:lineRule="auto"/>
        <w:jc w:val="both"/>
        <w:rPr>
          <w:color w:val="000000"/>
        </w:rPr>
      </w:pPr>
      <w:r>
        <w:rPr>
          <w:rFonts w:ascii="Bookman Old Style" w:eastAsia="Bookman Old Style" w:hAnsi="Bookman Old Style" w:cs="Bookman Old Style"/>
          <w:color w:val="000000"/>
        </w:rPr>
        <w:t>i crediti derivanti da pronunce di condanna della Corte dei conti;</w:t>
      </w:r>
    </w:p>
    <w:p w:rsidR="00E4739D" w:rsidRDefault="000D6640">
      <w:pPr>
        <w:numPr>
          <w:ilvl w:val="0"/>
          <w:numId w:val="3"/>
        </w:numPr>
        <w:tabs>
          <w:tab w:val="left" w:pos="0"/>
        </w:tabs>
        <w:spacing w:line="288" w:lineRule="auto"/>
        <w:jc w:val="both"/>
      </w:pPr>
      <w:r>
        <w:rPr>
          <w:rFonts w:ascii="Bookman Old Style" w:eastAsia="Bookman Old Style" w:hAnsi="Bookman Old Style" w:cs="Bookman Old Style"/>
        </w:rPr>
        <w:t>i carichi già affidati all’Age</w:t>
      </w:r>
      <w:r>
        <w:rPr>
          <w:rFonts w:ascii="Bookman Old Style" w:eastAsia="Bookman Old Style" w:hAnsi="Bookman Old Style" w:cs="Bookman Old Style"/>
        </w:rPr>
        <w:t>nzia delle Entrate-Riscossione, che restano disciplinati esclusivamente dall’art. 1, commi da 82 a 101, della Legge n. 199/2025;</w:t>
      </w:r>
    </w:p>
    <w:p w:rsidR="00E4739D" w:rsidRDefault="000D6640">
      <w:pPr>
        <w:numPr>
          <w:ilvl w:val="0"/>
          <w:numId w:val="3"/>
        </w:numPr>
        <w:tabs>
          <w:tab w:val="left" w:pos="0"/>
        </w:tabs>
        <w:spacing w:after="120" w:line="288" w:lineRule="auto"/>
        <w:jc w:val="both"/>
      </w:pPr>
      <w:r>
        <w:rPr>
          <w:rFonts w:ascii="Bookman Old Style" w:eastAsia="Bookman Old Style" w:hAnsi="Bookman Old Style" w:cs="Bookman Old Style"/>
        </w:rPr>
        <w:t>l’IRAP, le compartecipazioni e le addizionali a tributi erariali, ai sensi dell’art. 1, comma 105, della Legge n. 199/2025.</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6. </w:t>
      </w:r>
      <w:r>
        <w:rPr>
          <w:rFonts w:ascii="Bookman Old Style" w:eastAsia="Bookman Old Style" w:hAnsi="Bookman Old Style" w:cs="Bookman Old Style"/>
          <w:color w:val="000000"/>
        </w:rPr>
        <w:t>Il Comune</w:t>
      </w:r>
      <w:r>
        <w:rPr>
          <w:rFonts w:ascii="Bookman Old Style" w:eastAsia="Bookman Old Style" w:hAnsi="Bookman Old Style" w:cs="Bookman Old Style"/>
          <w:i/>
          <w:iCs/>
          <w:color w:val="000000"/>
        </w:rPr>
        <w:t xml:space="preserve">, </w:t>
      </w:r>
      <w:r>
        <w:rPr>
          <w:rFonts w:ascii="Bookman Old Style" w:eastAsia="Bookman Old Style" w:hAnsi="Bookman Old Style" w:cs="Bookman Old Style"/>
          <w:color w:val="000000"/>
        </w:rPr>
        <w:t>su istanza del debitore da presentarsi entro il 30 settembre, comunica, nei successivi dieci giorni dal ricevimento dell’istanza, l’ammontare delle pendenze del debitore che possono essere oggetto di definizione agevolata.</w:t>
      </w:r>
    </w:p>
    <w:p w:rsidR="00E4739D" w:rsidRDefault="00E4739D">
      <w:pPr>
        <w:tabs>
          <w:tab w:val="left" w:pos="0"/>
        </w:tabs>
        <w:spacing w:after="12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4" w:name="_Toc226481605"/>
      <w:r>
        <w:rPr>
          <w:rFonts w:ascii="Bookman Old Style" w:eastAsia="Bookman Old Style" w:hAnsi="Bookman Old Style" w:cs="Bookman Old Style"/>
          <w:sz w:val="22"/>
          <w:szCs w:val="22"/>
        </w:rPr>
        <w:t>Articolo 3 – Dichiara</w:t>
      </w:r>
      <w:r>
        <w:rPr>
          <w:rFonts w:ascii="Bookman Old Style" w:eastAsia="Bookman Old Style" w:hAnsi="Bookman Old Style" w:cs="Bookman Old Style"/>
          <w:sz w:val="22"/>
          <w:szCs w:val="22"/>
        </w:rPr>
        <w:t>zione di adesione alla definizione agevolata</w:t>
      </w:r>
      <w:bookmarkEnd w:id="4"/>
    </w:p>
    <w:p w:rsidR="00E4739D" w:rsidRDefault="000D6640">
      <w:p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t xml:space="preserve">1. Ai fini della definizione di cui all’articolo 2, il debitore manifesta al Comune la sua volontà di avvalersene, rendendo entro il 31 ottobre 2026, apposita dichiarazione, con le </w:t>
      </w:r>
      <w:r>
        <w:rPr>
          <w:rFonts w:ascii="Bookman Old Style" w:eastAsia="Bookman Old Style" w:hAnsi="Bookman Old Style" w:cs="Bookman Old Style"/>
          <w:color w:val="000000"/>
        </w:rPr>
        <w:lastRenderedPageBreak/>
        <w:t>modalità e in conformità alla</w:t>
      </w:r>
      <w:r>
        <w:rPr>
          <w:rFonts w:ascii="Bookman Old Style" w:eastAsia="Bookman Old Style" w:hAnsi="Bookman Old Style" w:cs="Bookman Old Style"/>
          <w:color w:val="000000"/>
        </w:rPr>
        <w:t xml:space="preserve"> modulistica che lo stesso Comune mette a disposizione sul proprio sito internet nel termine di 15 giorni dall’approvazione del presente regolamento. </w:t>
      </w:r>
    </w:p>
    <w:p w:rsidR="00E4739D" w:rsidRDefault="000D6640">
      <w:pPr>
        <w:tabs>
          <w:tab w:val="left" w:pos="0"/>
        </w:tabs>
        <w:spacing w:after="120" w:line="288" w:lineRule="auto"/>
        <w:jc w:val="both"/>
        <w:rPr>
          <w:rFonts w:ascii="Bookman Old Style" w:eastAsia="Bookman Old Style" w:hAnsi="Bookman Old Style" w:cs="Bookman Old Style"/>
        </w:rPr>
      </w:pPr>
      <w:r>
        <w:rPr>
          <w:rFonts w:ascii="Bookman Old Style" w:eastAsia="Bookman Old Style" w:hAnsi="Bookman Old Style" w:cs="Bookman Old Style"/>
        </w:rPr>
        <w:t>In tale dichiarazione il debitore deve indicare:</w:t>
      </w:r>
    </w:p>
    <w:p w:rsidR="00E4739D" w:rsidRDefault="000D6640">
      <w:pPr>
        <w:numPr>
          <w:ilvl w:val="0"/>
          <w:numId w:val="6"/>
        </w:numPr>
        <w:tabs>
          <w:tab w:val="left" w:pos="0"/>
        </w:tabs>
        <w:spacing w:line="288" w:lineRule="auto"/>
        <w:jc w:val="both"/>
        <w:rPr>
          <w:rFonts w:ascii="Bookman Old Style" w:eastAsia="Bookman Old Style" w:hAnsi="Bookman Old Style" w:cs="Bookman Old Style"/>
        </w:rPr>
      </w:pPr>
      <w:r>
        <w:rPr>
          <w:rFonts w:ascii="Bookman Old Style" w:eastAsia="Bookman Old Style" w:hAnsi="Bookman Old Style" w:cs="Bookman Old Style"/>
        </w:rPr>
        <w:t>i dati anagrafici e il codice fiscale del richiedente;</w:t>
      </w:r>
    </w:p>
    <w:p w:rsidR="00E4739D" w:rsidRDefault="000D6640">
      <w:pPr>
        <w:numPr>
          <w:ilvl w:val="0"/>
          <w:numId w:val="6"/>
        </w:numPr>
        <w:tabs>
          <w:tab w:val="left" w:pos="0"/>
        </w:tabs>
        <w:spacing w:line="288" w:lineRule="auto"/>
        <w:jc w:val="both"/>
        <w:rPr>
          <w:rFonts w:ascii="Bookman Old Style" w:eastAsia="Bookman Old Style" w:hAnsi="Bookman Old Style" w:cs="Bookman Old Style"/>
        </w:rPr>
      </w:pPr>
      <w:r>
        <w:rPr>
          <w:rFonts w:ascii="Bookman Old Style" w:eastAsia="Bookman Old Style" w:hAnsi="Bookman Old Style" w:cs="Bookman Old Style"/>
        </w:rPr>
        <w:t>l</w:t>
      </w:r>
      <w:r>
        <w:rPr>
          <w:rFonts w:ascii="Bookman Old Style" w:eastAsia="Bookman Old Style" w:hAnsi="Bookman Old Style" w:cs="Bookman Old Style"/>
        </w:rPr>
        <w:t>’indicazione degli atti per i quali si chiede la definizione agevolata, con specificazione del tributo, dell’annualità e dell’importo;</w:t>
      </w:r>
    </w:p>
    <w:p w:rsidR="00E4739D" w:rsidRDefault="000D6640">
      <w:pPr>
        <w:numPr>
          <w:ilvl w:val="0"/>
          <w:numId w:val="6"/>
        </w:numPr>
        <w:tabs>
          <w:tab w:val="left" w:pos="0"/>
        </w:tabs>
        <w:spacing w:line="288" w:lineRule="auto"/>
        <w:jc w:val="both"/>
        <w:rPr>
          <w:rFonts w:ascii="Bookman Old Style" w:eastAsia="Bookman Old Style" w:hAnsi="Bookman Old Style" w:cs="Bookman Old Style"/>
        </w:rPr>
      </w:pPr>
      <w:r>
        <w:rPr>
          <w:rFonts w:ascii="Bookman Old Style" w:eastAsia="Bookman Old Style" w:hAnsi="Bookman Old Style" w:cs="Bookman Old Style"/>
        </w:rPr>
        <w:t>la scelta tra pagamento in unica soluzione e pagamento rateale, con indicazione del numero di rate richieste;</w:t>
      </w:r>
    </w:p>
    <w:p w:rsidR="00E4739D" w:rsidRDefault="000D6640">
      <w:pPr>
        <w:numPr>
          <w:ilvl w:val="0"/>
          <w:numId w:val="6"/>
        </w:numPr>
        <w:tabs>
          <w:tab w:val="left" w:pos="0"/>
        </w:tabs>
        <w:spacing w:line="288" w:lineRule="auto"/>
        <w:jc w:val="both"/>
        <w:rPr>
          <w:rFonts w:ascii="Bookman Old Style" w:eastAsia="Bookman Old Style" w:hAnsi="Bookman Old Style" w:cs="Bookman Old Style"/>
        </w:rPr>
      </w:pPr>
      <w:r>
        <w:rPr>
          <w:rFonts w:ascii="Bookman Old Style" w:eastAsia="Bookman Old Style" w:hAnsi="Bookman Old Style" w:cs="Bookman Old Style"/>
        </w:rPr>
        <w:t>la dichiara</w:t>
      </w:r>
      <w:r>
        <w:rPr>
          <w:rFonts w:ascii="Bookman Old Style" w:eastAsia="Bookman Old Style" w:hAnsi="Bookman Old Style" w:cs="Bookman Old Style"/>
        </w:rPr>
        <w:t>zione di rinuncia ad eventuali ricorsi pendenti relativi agli atti oggetto di definizione, ai sensi dell’art. 8;</w:t>
      </w:r>
    </w:p>
    <w:p w:rsidR="00E4739D" w:rsidRDefault="000D6640">
      <w:pPr>
        <w:numPr>
          <w:ilvl w:val="0"/>
          <w:numId w:val="6"/>
        </w:numPr>
        <w:tabs>
          <w:tab w:val="left" w:pos="0"/>
        </w:tabs>
        <w:spacing w:line="288" w:lineRule="auto"/>
        <w:jc w:val="both"/>
        <w:rPr>
          <w:rFonts w:ascii="Bookman Old Style" w:eastAsia="Bookman Old Style" w:hAnsi="Bookman Old Style" w:cs="Bookman Old Style"/>
        </w:rPr>
      </w:pPr>
      <w:r>
        <w:rPr>
          <w:rFonts w:ascii="Bookman Old Style" w:eastAsia="Bookman Old Style" w:hAnsi="Bookman Old Style" w:cs="Bookman Old Style"/>
        </w:rPr>
        <w:t>l’eventuale dichiarazione di rinuncia alla rateizzazione in corso ai sensi dell’art. 4, comma 3;</w:t>
      </w:r>
    </w:p>
    <w:p w:rsidR="00E4739D" w:rsidRDefault="000D6640">
      <w:pPr>
        <w:numPr>
          <w:ilvl w:val="0"/>
          <w:numId w:val="6"/>
        </w:numPr>
        <w:tabs>
          <w:tab w:val="left" w:pos="0"/>
        </w:tabs>
        <w:spacing w:line="288" w:lineRule="auto"/>
        <w:jc w:val="both"/>
        <w:rPr>
          <w:rFonts w:ascii="Bookman Old Style" w:eastAsia="Bookman Old Style" w:hAnsi="Bookman Old Style" w:cs="Bookman Old Style"/>
        </w:rPr>
      </w:pPr>
      <w:r>
        <w:rPr>
          <w:rFonts w:ascii="Bookman Old Style" w:eastAsia="Bookman Old Style" w:hAnsi="Bookman Old Style" w:cs="Bookman Old Style"/>
        </w:rPr>
        <w:t>l’indirizzo PEC o, in mancanza, altro domicili</w:t>
      </w:r>
      <w:r>
        <w:rPr>
          <w:rFonts w:ascii="Bookman Old Style" w:eastAsia="Bookman Old Style" w:hAnsi="Bookman Old Style" w:cs="Bookman Old Style"/>
        </w:rPr>
        <w:t>o digitale ovvero recapito idoneo ai fini delle comunicazioni;</w:t>
      </w:r>
    </w:p>
    <w:p w:rsidR="00E4739D" w:rsidRDefault="000D6640">
      <w:pPr>
        <w:numPr>
          <w:ilvl w:val="0"/>
          <w:numId w:val="6"/>
        </w:numPr>
        <w:tabs>
          <w:tab w:val="left" w:pos="0"/>
        </w:tabs>
        <w:spacing w:after="120" w:line="288" w:lineRule="auto"/>
        <w:jc w:val="both"/>
        <w:rPr>
          <w:rFonts w:ascii="Bookman Old Style" w:eastAsia="Bookman Old Style" w:hAnsi="Bookman Old Style" w:cs="Bookman Old Style"/>
        </w:rPr>
      </w:pPr>
      <w:r>
        <w:rPr>
          <w:rFonts w:ascii="Bookman Old Style" w:eastAsia="Bookman Old Style" w:hAnsi="Bookman Old Style" w:cs="Bookman Old Style"/>
        </w:rPr>
        <w:t>la sottoscrizione del richiedente o del suo legale rappresentante;</w:t>
      </w:r>
    </w:p>
    <w:p w:rsidR="00E4739D" w:rsidRDefault="000D6640">
      <w:pPr>
        <w:numPr>
          <w:ilvl w:val="0"/>
          <w:numId w:val="6"/>
        </w:numPr>
        <w:tabs>
          <w:tab w:val="left" w:pos="0"/>
        </w:tabs>
        <w:spacing w:after="120" w:line="288" w:lineRule="auto"/>
        <w:jc w:val="both"/>
        <w:rPr>
          <w:rFonts w:ascii="Bookman Old Style" w:eastAsia="Bookman Old Style" w:hAnsi="Bookman Old Style" w:cs="Bookman Old Style"/>
        </w:rPr>
      </w:pPr>
      <w:r>
        <w:rPr>
          <w:rFonts w:ascii="Bookman Old Style" w:eastAsia="Bookman Old Style" w:hAnsi="Bookman Old Style" w:cs="Bookman Old Style"/>
        </w:rPr>
        <w:t xml:space="preserve">di essere in regola, per i contribuenti che hanno rateizzato i tributi dovuti, con la rateizzazione concessa con i pagamenti </w:t>
      </w:r>
      <w:r>
        <w:rPr>
          <w:rFonts w:ascii="Bookman Old Style" w:eastAsia="Bookman Old Style" w:hAnsi="Bookman Old Style" w:cs="Bookman Old Style"/>
        </w:rPr>
        <w:t>alla data del 31 agosto 2026.</w:t>
      </w:r>
    </w:p>
    <w:p w:rsidR="00E4739D" w:rsidRDefault="000D6640">
      <w:p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Il contribuente può presentare una o più domande, anche relative a tributi diversi. Ciascuna domanda può riguardare uno o più atti.</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2. Il Comune, entro il 10 novembre 2026, notifica ai debitori che hanno presentato la dichiara</w:t>
      </w:r>
      <w:r>
        <w:rPr>
          <w:rFonts w:ascii="Bookman Old Style" w:eastAsia="Bookman Old Style" w:hAnsi="Bookman Old Style" w:cs="Bookman Old Style"/>
          <w:color w:val="000000"/>
        </w:rPr>
        <w:t>zione di cui al comma 1 l’ammontare complessivo delle somme dovute ai fini della definizione, le modalità di pagamento, nonché l’importo delle singole rate, il giorno e il mese di scadenza di ciascuna di esse, attenendosi ai seguenti criteri:</w:t>
      </w:r>
    </w:p>
    <w:p w:rsidR="00E4739D" w:rsidRDefault="000D6640">
      <w:pPr>
        <w:pStyle w:val="Paragrafoelenco"/>
        <w:numPr>
          <w:ilvl w:val="0"/>
          <w:numId w:val="4"/>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versamento un</w:t>
      </w:r>
      <w:r>
        <w:rPr>
          <w:rFonts w:ascii="Bookman Old Style" w:eastAsia="Bookman Old Style" w:hAnsi="Bookman Old Style" w:cs="Bookman Old Style"/>
          <w:color w:val="000000"/>
        </w:rPr>
        <w:t>ico o della prima rata in caso di rateizzazione: entro il 30 novembre 2026;</w:t>
      </w:r>
    </w:p>
    <w:p w:rsidR="00E4739D" w:rsidRDefault="000D6640">
      <w:pPr>
        <w:pStyle w:val="Paragrafoelenco"/>
        <w:numPr>
          <w:ilvl w:val="0"/>
          <w:numId w:val="4"/>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pagamento rateale: massimo 8 rate trimestrali di pari ammontare, con scadenza 28 febbraio (29 se l’anno è bisestile), 31 maggio, 31 agosto e 30 novembre di ogni anno;</w:t>
      </w:r>
    </w:p>
    <w:p w:rsidR="00E4739D" w:rsidRDefault="000D6640">
      <w:pPr>
        <w:pStyle w:val="Paragrafoelenco"/>
        <w:numPr>
          <w:ilvl w:val="0"/>
          <w:numId w:val="4"/>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per importi s</w:t>
      </w:r>
      <w:r>
        <w:rPr>
          <w:rFonts w:ascii="Bookman Old Style" w:eastAsia="Bookman Old Style" w:hAnsi="Bookman Old Style" w:cs="Bookman Old Style"/>
          <w:color w:val="000000"/>
        </w:rPr>
        <w:t>uperiori ad euro 50.000,00, la concessione della rateizzazione, di cui al punto precedente, è subordinata alla presentazione di idonea garanzia fideiussoria;</w:t>
      </w:r>
    </w:p>
    <w:p w:rsidR="00E4739D" w:rsidRDefault="000D6640">
      <w:pPr>
        <w:pStyle w:val="Paragrafoelenco"/>
        <w:numPr>
          <w:ilvl w:val="0"/>
          <w:numId w:val="4"/>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i soggetti con ISEE inferiore a euro 10 mila, dietro presentazione di quest’ultima, possono richie</w:t>
      </w:r>
      <w:r>
        <w:rPr>
          <w:rFonts w:ascii="Bookman Old Style" w:eastAsia="Bookman Old Style" w:hAnsi="Bookman Old Style" w:cs="Bookman Old Style"/>
          <w:color w:val="000000"/>
        </w:rPr>
        <w:t xml:space="preserve">dere il pagamento rateale in un massimo di 12 rate trimestrali, con scadenza 28 febbraio (29 se l’anno è bisestile), 31 maggio, 31 agosto e 30 novembre di ogni anno. La prima rata deve essere versata entro il 30 novembre 2026.  </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3. Nel caso di versamento d</w:t>
      </w:r>
      <w:r>
        <w:rPr>
          <w:rFonts w:ascii="Bookman Old Style" w:eastAsia="Bookman Old Style" w:hAnsi="Bookman Old Style" w:cs="Bookman Old Style"/>
          <w:color w:val="000000"/>
        </w:rPr>
        <w:t>ilazionato in rate si applicano, a decorrere dal giorno successivo alla scadenza della prima rata, gli interessi al tasso legale. L’importo minimo di ciascuna rata non può essere inferiore a 50,00 euro;</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4. Con la comunicazione di cui al comma 2, il Comune </w:t>
      </w:r>
      <w:r>
        <w:rPr>
          <w:rFonts w:ascii="Bookman Old Style" w:eastAsia="Bookman Old Style" w:hAnsi="Bookman Old Style" w:cs="Bookman Old Style"/>
          <w:color w:val="000000"/>
        </w:rPr>
        <w:t xml:space="preserve">indica anche l'eventuale diniego alla definizione agevolata, totale e parziale. </w:t>
      </w:r>
    </w:p>
    <w:p w:rsidR="00E4739D" w:rsidRDefault="00E4739D">
      <w:pPr>
        <w:tabs>
          <w:tab w:val="left" w:pos="0"/>
        </w:tabs>
        <w:spacing w:after="12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5" w:name="_Toc226481606"/>
      <w:r>
        <w:rPr>
          <w:rFonts w:ascii="Bookman Old Style" w:eastAsia="Bookman Old Style" w:hAnsi="Bookman Old Style" w:cs="Bookman Old Style"/>
          <w:sz w:val="22"/>
          <w:szCs w:val="22"/>
        </w:rPr>
        <w:t>Articolo 4 – Effetti della definizione agevolata</w:t>
      </w:r>
      <w:bookmarkEnd w:id="5"/>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1. Il pagamento della prima o unica rata delle somme dovute ai fini della definizione determina, limitatamente ai debiti defi</w:t>
      </w:r>
      <w:r>
        <w:rPr>
          <w:rFonts w:ascii="Bookman Old Style" w:eastAsia="Bookman Old Style" w:hAnsi="Bookman Old Style" w:cs="Bookman Old Style"/>
          <w:color w:val="000000"/>
        </w:rPr>
        <w:t>nibili, la revoca automatica dell’eventuale dilazione precedentemente accordata ancora in essere.</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2. In caso di mancato ovvero di insufficiente o tardivo versamento, superiore a cinque giorni rispetto alla scadenza stabilita, del versamento unico o della p</w:t>
      </w:r>
      <w:r>
        <w:rPr>
          <w:rFonts w:ascii="Bookman Old Style" w:eastAsia="Bookman Old Style" w:hAnsi="Bookman Old Style" w:cs="Bookman Old Style"/>
          <w:color w:val="000000"/>
        </w:rPr>
        <w:t>rima rata, in caso di versamento rateale, la definizione non produce effetti. In tal caso, relativamente ai debiti per i quali la definizione non ha prodotto effetti, i versamenti effettuati sono acquisiti a titolo di acconto ai fini del calcolo dell'impor</w:t>
      </w:r>
      <w:r>
        <w:rPr>
          <w:rFonts w:ascii="Bookman Old Style" w:eastAsia="Bookman Old Style" w:hAnsi="Bookman Old Style" w:cs="Bookman Old Style"/>
          <w:color w:val="000000"/>
        </w:rPr>
        <w:t>to complessivamente dovuto.</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3. In caso di mancato pagamento:</w:t>
      </w:r>
    </w:p>
    <w:p w:rsidR="00E4739D" w:rsidRDefault="000D6640">
      <w:pPr>
        <w:pStyle w:val="Paragrafoelenco"/>
        <w:numPr>
          <w:ilvl w:val="0"/>
          <w:numId w:val="7"/>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di una rata, diversa dalla prima, entro la scadenza della rata successiva;</w:t>
      </w:r>
    </w:p>
    <w:p w:rsidR="00E4739D" w:rsidRDefault="000D6640">
      <w:pPr>
        <w:pStyle w:val="Paragrafoelenco"/>
        <w:numPr>
          <w:ilvl w:val="0"/>
          <w:numId w:val="7"/>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dell’ultima rata, entro 90 giorni dalla scadenza,</w:t>
      </w:r>
    </w:p>
    <w:p w:rsidR="00E4739D" w:rsidRDefault="000D6640">
      <w:pPr>
        <w:tabs>
          <w:tab w:val="left" w:pos="0"/>
        </w:tabs>
        <w:spacing w:after="120" w:line="288" w:lineRule="auto"/>
        <w:ind w:left="720"/>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la definizione decade. In tal caso, relativamente ai debiti per i </w:t>
      </w:r>
      <w:r>
        <w:rPr>
          <w:rFonts w:ascii="Bookman Old Style" w:eastAsia="Bookman Old Style" w:hAnsi="Bookman Old Style" w:cs="Bookman Old Style"/>
          <w:color w:val="000000"/>
        </w:rPr>
        <w:t>quali la definizione non ha prodotto effetti, i versamenti effettuati sono acquisiti a titolo di acconto ai fini del calcolo dell'importo complessivamente dovuto.</w:t>
      </w:r>
    </w:p>
    <w:p w:rsidR="00E4739D" w:rsidRDefault="00E4739D">
      <w:pPr>
        <w:tabs>
          <w:tab w:val="left" w:pos="0"/>
        </w:tabs>
        <w:spacing w:after="12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6" w:name="_Toc226481607"/>
      <w:r>
        <w:rPr>
          <w:rFonts w:ascii="Bookman Old Style" w:eastAsia="Bookman Old Style" w:hAnsi="Bookman Old Style" w:cs="Bookman Old Style"/>
          <w:sz w:val="22"/>
          <w:szCs w:val="22"/>
        </w:rPr>
        <w:t>Articolo 5 – Definizione agevolata degli importi oggetto di rateizzazione</w:t>
      </w:r>
      <w:bookmarkEnd w:id="6"/>
      <w:r>
        <w:rPr>
          <w:rFonts w:ascii="Bookman Old Style" w:eastAsia="Bookman Old Style" w:hAnsi="Bookman Old Style" w:cs="Bookman Old Style"/>
          <w:sz w:val="22"/>
          <w:szCs w:val="22"/>
        </w:rPr>
        <w:t xml:space="preserve"> </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1. La facoltà di </w:t>
      </w:r>
      <w:r>
        <w:rPr>
          <w:rFonts w:ascii="Bookman Old Style" w:eastAsia="Bookman Old Style" w:hAnsi="Bookman Old Style" w:cs="Bookman Old Style"/>
          <w:color w:val="000000"/>
        </w:rPr>
        <w:t>definizione prevista dall’articolo 2 può essere esercitata anche dai debitori che hanno già pagato parzialmente, anche a seguito di provvedimenti di dilazione emessi dal Comune, le somme dovute relativamente alle ingiunzioni di pagamento ed agli accertamen</w:t>
      </w:r>
      <w:r>
        <w:rPr>
          <w:rFonts w:ascii="Bookman Old Style" w:eastAsia="Bookman Old Style" w:hAnsi="Bookman Old Style" w:cs="Bookman Old Style"/>
          <w:color w:val="000000"/>
        </w:rPr>
        <w:t xml:space="preserve">ti esecutivi di cui all’articolo 2, comma 2. In tal caso, ai fini della determinazione dell’ammontare delle somme da versare ai sensi dell’articolo 3, comma 2, non si tiene conto degli importi già versati a titolo di sanzioni ed interessi, compresi quelli </w:t>
      </w:r>
      <w:r>
        <w:rPr>
          <w:rFonts w:ascii="Bookman Old Style" w:eastAsia="Bookman Old Style" w:hAnsi="Bookman Old Style" w:cs="Bookman Old Style"/>
          <w:color w:val="000000"/>
        </w:rPr>
        <w:t>di dilazione, che restano definitivamente acquisiti e non sono rimborsabili.</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2. A seguito della presentazione della dichiarazione di cui all’articolo 3, comma 1, sono sospesi, per i debiti oggetto della domanda di definizione, fino alla scadenza della </w:t>
      </w:r>
      <w:r>
        <w:rPr>
          <w:rFonts w:ascii="Bookman Old Style" w:eastAsia="Bookman Old Style" w:hAnsi="Bookman Old Style" w:cs="Bookman Old Style"/>
          <w:color w:val="000000"/>
        </w:rPr>
        <w:t>prima o unica rata delle somme dovute, gli obblighi di pagamento derivanti da precedenti dilazioni in essere relativamente alle rate in scadenza in data successiva alla data di presentazione della domanda di definizione.</w:t>
      </w:r>
    </w:p>
    <w:p w:rsidR="00E4739D" w:rsidRDefault="00E4739D">
      <w:pPr>
        <w:tabs>
          <w:tab w:val="left" w:pos="0"/>
        </w:tabs>
        <w:spacing w:after="12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7" w:name="_Toc226481608"/>
      <w:r>
        <w:rPr>
          <w:rFonts w:ascii="Bookman Old Style" w:eastAsia="Bookman Old Style" w:hAnsi="Bookman Old Style" w:cs="Bookman Old Style"/>
          <w:sz w:val="22"/>
          <w:szCs w:val="22"/>
        </w:rPr>
        <w:t>Articolo 6 – Procedure cautelari e</w:t>
      </w:r>
      <w:r>
        <w:rPr>
          <w:rFonts w:ascii="Bookman Old Style" w:eastAsia="Bookman Old Style" w:hAnsi="Bookman Old Style" w:cs="Bookman Old Style"/>
          <w:sz w:val="22"/>
          <w:szCs w:val="22"/>
        </w:rPr>
        <w:t>d esecutive in corso</w:t>
      </w:r>
      <w:bookmarkEnd w:id="7"/>
      <w:r>
        <w:rPr>
          <w:rFonts w:ascii="Bookman Old Style" w:eastAsia="Bookman Old Style" w:hAnsi="Bookman Old Style" w:cs="Bookman Old Style"/>
          <w:sz w:val="22"/>
          <w:szCs w:val="22"/>
        </w:rPr>
        <w:t xml:space="preserve"> </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1. Il Comune relativamente ai debiti definibili, dopo la presentazione della domanda di cui all’art. 3, comma 1, non può avviare azioni esecutive ovvero iscrivere fermi amministrativi e ipoteche, fatti salvi i fermi amministrativi e l</w:t>
      </w:r>
      <w:r>
        <w:rPr>
          <w:rFonts w:ascii="Bookman Old Style" w:eastAsia="Bookman Old Style" w:hAnsi="Bookman Old Style" w:cs="Bookman Old Style"/>
          <w:color w:val="000000"/>
        </w:rPr>
        <w:t>e ipoteche già iscritti alla data di presentazione della dichiarazione suddetta, e non può altresì proseguire le procedure di recupero coattivo precedentemente avviate, a condizione che non si sia ancora tenuto il primo incanto con esito positivo.</w:t>
      </w:r>
    </w:p>
    <w:p w:rsidR="00E4739D" w:rsidRDefault="00E4739D">
      <w:pPr>
        <w:tabs>
          <w:tab w:val="left" w:pos="0"/>
        </w:tabs>
        <w:spacing w:after="12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8" w:name="_Toc226481609"/>
      <w:r>
        <w:rPr>
          <w:rFonts w:ascii="Bookman Old Style" w:eastAsia="Bookman Old Style" w:hAnsi="Bookman Old Style" w:cs="Bookman Old Style"/>
          <w:sz w:val="22"/>
          <w:szCs w:val="22"/>
        </w:rPr>
        <w:lastRenderedPageBreak/>
        <w:t>Articol</w:t>
      </w:r>
      <w:r>
        <w:rPr>
          <w:rFonts w:ascii="Bookman Old Style" w:eastAsia="Bookman Old Style" w:hAnsi="Bookman Old Style" w:cs="Bookman Old Style"/>
          <w:sz w:val="22"/>
          <w:szCs w:val="22"/>
        </w:rPr>
        <w:t>o 7 – Rinuncia al contenzioso pendente</w:t>
      </w:r>
      <w:bookmarkEnd w:id="8"/>
      <w:r>
        <w:rPr>
          <w:rFonts w:ascii="Bookman Old Style" w:eastAsia="Bookman Old Style" w:hAnsi="Bookman Old Style" w:cs="Bookman Old Style"/>
          <w:sz w:val="22"/>
          <w:szCs w:val="22"/>
        </w:rPr>
        <w:t xml:space="preserve"> </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1. Nella dichiarazione di cui all’articolo 3, comma 1, il debitore indica in modo esaustivo l'eventuale pendenza di giudizi aventi ad oggetto i carichi in essa ricompresi e assume l'impegno a rinunciare agli stessi g</w:t>
      </w:r>
      <w:r>
        <w:rPr>
          <w:rFonts w:ascii="Bookman Old Style" w:eastAsia="Bookman Old Style" w:hAnsi="Bookman Old Style" w:cs="Bookman Old Style"/>
          <w:color w:val="000000"/>
        </w:rPr>
        <w:t xml:space="preserve">iudizi. Il debitore deposita istanza di rinuncia al contenzioso ai sensi dell’articolo 42 del decreto legislativo 31 dicembre 1992, n. 546, e dal 1° gennaio 2027 ai sensi dell’articolo 93 del decreto legislativo 14 novembre 2024, n. 175, nei trenta giorni </w:t>
      </w:r>
      <w:r>
        <w:rPr>
          <w:rFonts w:ascii="Bookman Old Style" w:eastAsia="Bookman Old Style" w:hAnsi="Bookman Old Style" w:cs="Bookman Old Style"/>
          <w:color w:val="000000"/>
        </w:rPr>
        <w:t>successivi alla scadenza del pagamento della prima o unica rata, allegando la relativa quietanza di pagamento. La dichiarazione di volersi avvalere del beneficio della definizione agevolata, allegata all’istanza di rinuncia al ricorso, produce l’effetto di</w:t>
      </w:r>
      <w:r>
        <w:rPr>
          <w:rFonts w:ascii="Bookman Old Style" w:eastAsia="Bookman Old Style" w:hAnsi="Bookman Old Style" w:cs="Bookman Old Style"/>
          <w:color w:val="000000"/>
        </w:rPr>
        <w:t xml:space="preserve"> accettazione da parte del Comune della rinuncia al ricorso ed accordo tra le parti per la compensazione delle spese di lite. La mancata indicazione di giudizi in essere comporta l’inefficacia della definizione agevolata con riferimento ai carichi coinvolt</w:t>
      </w:r>
      <w:r>
        <w:rPr>
          <w:rFonts w:ascii="Bookman Old Style" w:eastAsia="Bookman Old Style" w:hAnsi="Bookman Old Style" w:cs="Bookman Old Style"/>
          <w:color w:val="000000"/>
        </w:rPr>
        <w:t xml:space="preserve">i.  Nell’ipotesi in cui l’impugnazione sia stata proposta dal Comune, con la presentazione della suddetta dichiarazione il debitore si impegna ad accettare, con compensazione delle spese di lite, l’atto di rinuncia che sarà depositato dal Comune medesimo, </w:t>
      </w:r>
      <w:r>
        <w:rPr>
          <w:rFonts w:ascii="Bookman Old Style" w:eastAsia="Bookman Old Style" w:hAnsi="Bookman Old Style" w:cs="Bookman Old Style"/>
          <w:color w:val="000000"/>
        </w:rPr>
        <w:t>allegando la quietanza di pagamento della prima o unica rata.</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2. Il mancato deposito dell’istanza di rinuncia al ricorso da parte del debitore, o la mancata accettazione della rinuncia dell’ente impositore, determina l’inefficacia della definizione agevola</w:t>
      </w:r>
      <w:r>
        <w:rPr>
          <w:rFonts w:ascii="Bookman Old Style" w:eastAsia="Bookman Old Style" w:hAnsi="Bookman Old Style" w:cs="Bookman Old Style"/>
          <w:color w:val="000000"/>
        </w:rPr>
        <w:t>ta con riferimento ai debiti di cui al contenzioso in questione ed i versamenti effettuati sono acquisiti a titolo di acconto dell'importo complessivamente dovuto.</w:t>
      </w:r>
    </w:p>
    <w:p w:rsidR="00E4739D" w:rsidRDefault="00E4739D">
      <w:pPr>
        <w:tabs>
          <w:tab w:val="left" w:pos="0"/>
        </w:tabs>
        <w:spacing w:after="12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9" w:name="_Toc226481610"/>
      <w:r>
        <w:rPr>
          <w:rFonts w:ascii="Bookman Old Style" w:eastAsia="Bookman Old Style" w:hAnsi="Bookman Old Style" w:cs="Bookman Old Style"/>
          <w:sz w:val="22"/>
          <w:szCs w:val="22"/>
        </w:rPr>
        <w:t>Articolo 8 – Entrata in vigore</w:t>
      </w:r>
      <w:bookmarkEnd w:id="9"/>
    </w:p>
    <w:p w:rsidR="00E4739D" w:rsidRDefault="000D6640">
      <w:pPr>
        <w:spacing w:after="80" w:line="288" w:lineRule="auto"/>
        <w:ind w:firstLine="397"/>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1. Il presente regolamento entra in vigore dalla data di pub</w:t>
      </w:r>
      <w:r>
        <w:rPr>
          <w:rFonts w:ascii="Bookman Old Style" w:eastAsia="Bookman Old Style" w:hAnsi="Bookman Old Style" w:cs="Bookman Old Style"/>
          <w:color w:val="000000"/>
        </w:rPr>
        <w:t>blicazione sul sito istituzionale del Comune di Solarino.</w:t>
      </w:r>
    </w:p>
    <w:p w:rsidR="00E4739D" w:rsidRDefault="00E4739D">
      <w:pPr>
        <w:spacing w:after="80" w:line="288" w:lineRule="auto"/>
        <w:ind w:firstLine="397"/>
        <w:jc w:val="both"/>
        <w:rPr>
          <w:rFonts w:ascii="Bookman Old Style" w:eastAsia="Bookman Old Style" w:hAnsi="Bookman Old Style" w:cs="Bookman Old Style"/>
          <w:color w:val="000000"/>
        </w:rPr>
      </w:pPr>
    </w:p>
    <w:p w:rsidR="00E4739D" w:rsidRDefault="000D6640">
      <w:pPr>
        <w:rPr>
          <w:rFonts w:ascii="Bookman Old Style" w:eastAsia="Bookman Old Style" w:hAnsi="Bookman Old Style" w:cs="Bookman Old Style"/>
        </w:rPr>
      </w:pPr>
      <w:r>
        <w:br w:type="page"/>
      </w:r>
    </w:p>
    <w:p w:rsidR="00E4739D" w:rsidRDefault="000D6640">
      <w:pPr>
        <w:pStyle w:val="Titolo3"/>
        <w:spacing w:after="120" w:line="288" w:lineRule="auto"/>
        <w:rPr>
          <w:rFonts w:ascii="Bookman Old Style" w:eastAsia="Bookman Old Style" w:hAnsi="Bookman Old Style" w:cs="Bookman Old Style"/>
        </w:rPr>
      </w:pPr>
      <w:bookmarkStart w:id="10" w:name="_Toc226481611"/>
      <w:r>
        <w:rPr>
          <w:rFonts w:ascii="Bookman Old Style" w:eastAsia="Bookman Old Style" w:hAnsi="Bookman Old Style" w:cs="Bookman Old Style"/>
        </w:rPr>
        <w:lastRenderedPageBreak/>
        <w:t>PARTE II- DEFINIZIONE AGEVOLATA DELLE LITI PENDENTI</w:t>
      </w:r>
      <w:bookmarkEnd w:id="10"/>
    </w:p>
    <w:p w:rsidR="00E4739D" w:rsidRDefault="00E4739D">
      <w:pPr>
        <w:spacing w:after="80" w:line="288" w:lineRule="auto"/>
        <w:rPr>
          <w:rFonts w:ascii="Bookman Old Style" w:eastAsia="Bookman Old Style" w:hAnsi="Bookman Old Style" w:cs="Bookman Old Style"/>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11" w:name="_Toc226481612"/>
      <w:r>
        <w:rPr>
          <w:rFonts w:ascii="Bookman Old Style" w:eastAsia="Bookman Old Style" w:hAnsi="Bookman Old Style" w:cs="Bookman Old Style"/>
          <w:sz w:val="22"/>
          <w:szCs w:val="22"/>
        </w:rPr>
        <w:t>Articolo 1 - Oggetto del Regolamento</w:t>
      </w:r>
      <w:bookmarkEnd w:id="11"/>
      <w:r>
        <w:rPr>
          <w:rFonts w:ascii="Bookman Old Style" w:eastAsia="Bookman Old Style" w:hAnsi="Bookman Old Style" w:cs="Bookman Old Style"/>
          <w:sz w:val="22"/>
          <w:szCs w:val="22"/>
        </w:rPr>
        <w:t xml:space="preserve"> </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1. Il presente regolamento adottato nell'ambito della potestà prevista dall’articolo 52 del decreto </w:t>
      </w:r>
      <w:r>
        <w:rPr>
          <w:rFonts w:ascii="Bookman Old Style" w:eastAsia="Bookman Old Style" w:hAnsi="Bookman Old Style" w:cs="Bookman Old Style"/>
          <w:color w:val="000000"/>
        </w:rPr>
        <w:t>legislativo 15 dicembre 1997, n. 446 ed in attuazione dell’articolo 1, commi da 102 a 110 della legge 30 dicembre 2025, n. 199, disciplina la definizione agevolata delle controversie tributarie pendenti al 1° gennaio 2026.</w:t>
      </w:r>
    </w:p>
    <w:p w:rsidR="00E4739D" w:rsidRDefault="00E4739D">
      <w:pPr>
        <w:tabs>
          <w:tab w:val="left" w:pos="0"/>
        </w:tabs>
        <w:spacing w:after="8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12" w:name="_Toc226481613"/>
      <w:r>
        <w:rPr>
          <w:rFonts w:ascii="Bookman Old Style" w:eastAsia="Bookman Old Style" w:hAnsi="Bookman Old Style" w:cs="Bookman Old Style"/>
          <w:sz w:val="22"/>
          <w:szCs w:val="22"/>
        </w:rPr>
        <w:t>Articolo 2 – Oggetto della defin</w:t>
      </w:r>
      <w:r>
        <w:rPr>
          <w:rFonts w:ascii="Bookman Old Style" w:eastAsia="Bookman Old Style" w:hAnsi="Bookman Old Style" w:cs="Bookman Old Style"/>
          <w:sz w:val="22"/>
          <w:szCs w:val="22"/>
        </w:rPr>
        <w:t>izione agevolata</w:t>
      </w:r>
      <w:bookmarkEnd w:id="12"/>
      <w:r>
        <w:rPr>
          <w:rFonts w:ascii="Bookman Old Style" w:eastAsia="Bookman Old Style" w:hAnsi="Bookman Old Style" w:cs="Bookman Old Style"/>
          <w:sz w:val="22"/>
          <w:szCs w:val="22"/>
        </w:rPr>
        <w:t xml:space="preserve"> </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1. Oggetto della definizione agevolata sono le controversie tributarie pendenti, in ogni stato e grado del giudizio, compreso quello in cassazione ed anche a seguito di rinvio, il cui ricorso introduttivo sia stato notificato al Comune im</w:t>
      </w:r>
      <w:r>
        <w:rPr>
          <w:rFonts w:ascii="Bookman Old Style" w:eastAsia="Bookman Old Style" w:hAnsi="Bookman Old Style" w:cs="Bookman Old Style"/>
          <w:color w:val="000000"/>
        </w:rPr>
        <w:t>positore entro la data del 1° gennaio 2026. Per Comune impositore si intende:</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t>a) il Comune di Solarino, per quanto attiene, l’IMU, TARI, TASI, canoni e consumi afferenti il servizio idrico integrato, canone unico, violazioni al codice della strada (cds);</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t>c) l’Affidatario/Concessionario, per quanto attiene IMU, TARI, TASI, canoni e consumi afferenti il servizio idrico integrato;</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2. La definizione agevolata è ammessa per le controversie attribuite alla giurisdizione tributaria in cui è parte il Comune impos</w:t>
      </w:r>
      <w:r>
        <w:rPr>
          <w:rFonts w:ascii="Bookman Old Style" w:eastAsia="Bookman Old Style" w:hAnsi="Bookman Old Style" w:cs="Bookman Old Style"/>
          <w:color w:val="000000"/>
        </w:rPr>
        <w:t>itore, così come definito dal precedente comma.</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3. La definizione agevolata non è ammessa per le controversie relative ai dinieghi al rimborso, espressi o taciti.</w:t>
      </w:r>
    </w:p>
    <w:p w:rsidR="00E4739D" w:rsidRDefault="00E4739D">
      <w:pPr>
        <w:tabs>
          <w:tab w:val="left" w:pos="0"/>
        </w:tabs>
        <w:spacing w:after="8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13" w:name="_Toc226481614"/>
      <w:r>
        <w:rPr>
          <w:rFonts w:ascii="Bookman Old Style" w:eastAsia="Bookman Old Style" w:hAnsi="Bookman Old Style" w:cs="Bookman Old Style"/>
          <w:sz w:val="22"/>
          <w:szCs w:val="22"/>
        </w:rPr>
        <w:t>Articolo 3 – Termini e modalità di presentazione della domanda</w:t>
      </w:r>
      <w:bookmarkEnd w:id="13"/>
      <w:r>
        <w:rPr>
          <w:rFonts w:ascii="Bookman Old Style" w:eastAsia="Bookman Old Style" w:hAnsi="Bookman Old Style" w:cs="Bookman Old Style"/>
          <w:sz w:val="22"/>
          <w:szCs w:val="22"/>
        </w:rPr>
        <w:t xml:space="preserve"> </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1. La domanda di definizione</w:t>
      </w:r>
      <w:r>
        <w:rPr>
          <w:rFonts w:ascii="Bookman Old Style" w:eastAsia="Bookman Old Style" w:hAnsi="Bookman Old Style" w:cs="Bookman Old Style"/>
          <w:color w:val="000000"/>
        </w:rPr>
        <w:t xml:space="preserve"> agevolata della controversia di cui all’articolo 2 deve essere presentata entro il 30 settembre 2026. La domanda, da redigersi su modello predisposto dal Comune e resa disponibile sul proprio sito internet, deve essere inviata tramite posta elettronica ce</w:t>
      </w:r>
      <w:r>
        <w:rPr>
          <w:rFonts w:ascii="Bookman Old Style" w:eastAsia="Bookman Old Style" w:hAnsi="Bookman Old Style" w:cs="Bookman Old Style"/>
          <w:color w:val="000000"/>
        </w:rPr>
        <w:t>rtificata o consegnata a mani.</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2. Il contribuente deve presentare una distinta domanda, esente da bollo, per ogni singolo atto impugnato, anche nel caso di ricorso cumulativo o collettivo riguardante più di un atto.</w:t>
      </w:r>
    </w:p>
    <w:p w:rsidR="00E4739D" w:rsidRDefault="00E4739D">
      <w:pPr>
        <w:tabs>
          <w:tab w:val="left" w:pos="0"/>
        </w:tabs>
        <w:spacing w:after="8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14" w:name="_Toc226481615"/>
      <w:r>
        <w:rPr>
          <w:rFonts w:ascii="Bookman Old Style" w:eastAsia="Bookman Old Style" w:hAnsi="Bookman Old Style" w:cs="Bookman Old Style"/>
          <w:sz w:val="22"/>
          <w:szCs w:val="22"/>
        </w:rPr>
        <w:t>Articolo 4 – Importi dovuti</w:t>
      </w:r>
      <w:bookmarkEnd w:id="14"/>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1. Ai fini </w:t>
      </w:r>
      <w:r>
        <w:rPr>
          <w:rFonts w:ascii="Bookman Old Style" w:eastAsia="Bookman Old Style" w:hAnsi="Bookman Old Style" w:cs="Bookman Old Style"/>
          <w:color w:val="000000"/>
        </w:rPr>
        <w:t>della definizione delle controversie di cui all’articolo 2, il soggetto che ha proposto l'atto introduttivo del giudizio, o chi vi è subentrato o ne ha la legittimazione, può definire la controversia tenuto conto dello stato in cui si trovava la controvers</w:t>
      </w:r>
      <w:r>
        <w:rPr>
          <w:rFonts w:ascii="Bookman Old Style" w:eastAsia="Bookman Old Style" w:hAnsi="Bookman Old Style" w:cs="Bookman Old Style"/>
          <w:color w:val="000000"/>
        </w:rPr>
        <w:t>ia e dell’esito delle pronunce depositate entro la data del 1° gennaio 2026. In particolare, la definizione può avvenire col pagamento del solo tributo, qualsiasi sia l’esito delle eventuali sentenze di primo o secondo grado non passate in giudicato alla d</w:t>
      </w:r>
      <w:r>
        <w:rPr>
          <w:rFonts w:ascii="Bookman Old Style" w:eastAsia="Bookman Old Style" w:hAnsi="Bookman Old Style" w:cs="Bookman Old Style"/>
          <w:color w:val="000000"/>
        </w:rPr>
        <w:t>ata di cui all’articolo 3, comma 1.</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 xml:space="preserve">2. Per le controversie relative esclusivamente alle sanzioni collegate al tributo cui si riferiscono, ai fini della definizione non è dovuto alcun importo qualora il rapporto relativo al tributo sia stato definito anche </w:t>
      </w:r>
      <w:r>
        <w:rPr>
          <w:rFonts w:ascii="Bookman Old Style" w:eastAsia="Bookman Old Style" w:hAnsi="Bookman Old Style" w:cs="Bookman Old Style"/>
          <w:color w:val="000000"/>
        </w:rPr>
        <w:t>con modalità diverse dalla definizione disciplinata dal presente regolamento. La definizione della lite si realizza con la sola presentazione della domanda di definizione.</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3. Per le controversie relative esclusivamente alle sanzioni non collegate al tribut</w:t>
      </w:r>
      <w:r>
        <w:rPr>
          <w:rFonts w:ascii="Bookman Old Style" w:eastAsia="Bookman Old Style" w:hAnsi="Bookman Old Style" w:cs="Bookman Old Style"/>
          <w:color w:val="000000"/>
        </w:rPr>
        <w:t>o, sono dovuti i seguenti importi:</w:t>
      </w:r>
    </w:p>
    <w:p w:rsidR="00E4739D" w:rsidRDefault="000D6640">
      <w:pPr>
        <w:numPr>
          <w:ilvl w:val="0"/>
          <w:numId w:val="1"/>
        </w:numPr>
        <w:spacing w:after="80" w:line="288" w:lineRule="auto"/>
        <w:jc w:val="both"/>
        <w:rPr>
          <w:color w:val="000000"/>
        </w:rPr>
      </w:pPr>
      <w:r>
        <w:rPr>
          <w:rFonts w:ascii="Bookman Old Style" w:eastAsia="Bookman Old Style" w:hAnsi="Bookman Old Style" w:cs="Bookman Old Style"/>
          <w:color w:val="000000"/>
        </w:rPr>
        <w:t>il 15% del valore della controversia se il Comune impositore è risultato soccombente nell’ultima o unica pronuncia, non cautelare, depositata entro il 1° gennaio 2026;</w:t>
      </w:r>
    </w:p>
    <w:p w:rsidR="00E4739D" w:rsidRDefault="000D6640">
      <w:pPr>
        <w:numPr>
          <w:ilvl w:val="0"/>
          <w:numId w:val="1"/>
        </w:numPr>
        <w:spacing w:after="80" w:line="288" w:lineRule="auto"/>
        <w:jc w:val="both"/>
        <w:rPr>
          <w:color w:val="000000"/>
        </w:rPr>
      </w:pPr>
      <w:r>
        <w:rPr>
          <w:rFonts w:ascii="Bookman Old Style" w:eastAsia="Bookman Old Style" w:hAnsi="Bookman Old Style" w:cs="Bookman Old Style"/>
          <w:color w:val="000000"/>
        </w:rPr>
        <w:t>il 40% del valore della controversia negli altri casi</w:t>
      </w:r>
      <w:r>
        <w:rPr>
          <w:rFonts w:ascii="Bookman Old Style" w:eastAsia="Bookman Old Style" w:hAnsi="Bookman Old Style" w:cs="Bookman Old Style"/>
          <w:color w:val="000000"/>
        </w:rPr>
        <w:t>;</w:t>
      </w:r>
    </w:p>
    <w:p w:rsidR="00E4739D" w:rsidRDefault="000D6640">
      <w:pPr>
        <w:numPr>
          <w:ilvl w:val="0"/>
          <w:numId w:val="1"/>
        </w:numPr>
        <w:spacing w:after="80" w:line="288" w:lineRule="auto"/>
        <w:jc w:val="both"/>
        <w:rPr>
          <w:color w:val="000000"/>
        </w:rPr>
      </w:pPr>
      <w:r>
        <w:rPr>
          <w:rFonts w:ascii="Bookman Old Style" w:eastAsia="Bookman Old Style" w:hAnsi="Bookman Old Style" w:cs="Bookman Old Style"/>
          <w:color w:val="000000"/>
        </w:rPr>
        <w:t>in caso di soccombenza parziale, è dovuto il 15% del valore della controversia per la parte in cui è risultato soccombente il Comune impositore, ed il 40% per la restante parte.</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4. Dagli importi dovuti in base ai precedenti commi sono scomputati quelli v</w:t>
      </w:r>
      <w:r>
        <w:rPr>
          <w:rFonts w:ascii="Bookman Old Style" w:eastAsia="Bookman Old Style" w:hAnsi="Bookman Old Style" w:cs="Bookman Old Style"/>
          <w:color w:val="000000"/>
        </w:rPr>
        <w:t>ersati, a qualsiasi titolo, in pendenza di giudizio. La definizione non dà comunque luogo alla restituzione delle somme già versate, se eccedenti rispetto a quanto dovuto per la definizione.</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5. Gli importi dovuti, di cui ai precedenti commi, sono liquidati</w:t>
      </w:r>
      <w:r>
        <w:rPr>
          <w:rFonts w:ascii="Bookman Old Style" w:eastAsia="Bookman Old Style" w:hAnsi="Bookman Old Style" w:cs="Bookman Old Style"/>
          <w:color w:val="000000"/>
        </w:rPr>
        <w:t xml:space="preserve"> direttamente dal contribuente.</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6. Qualora non ci siano importi da versare, la definizione si perfeziona con la sola presentazione della domanda.</w:t>
      </w:r>
    </w:p>
    <w:p w:rsidR="00E4739D" w:rsidRDefault="000D6640">
      <w:pPr>
        <w:tabs>
          <w:tab w:val="left" w:pos="0"/>
        </w:tabs>
        <w:spacing w:after="8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7. Nel caso in cui sia stata attivata la riscossione coattiva degli importi in contenzioso ed il contribuente </w:t>
      </w:r>
      <w:r>
        <w:rPr>
          <w:rFonts w:ascii="Bookman Old Style" w:eastAsia="Bookman Old Style" w:hAnsi="Bookman Old Style" w:cs="Bookman Old Style"/>
          <w:color w:val="000000"/>
        </w:rPr>
        <w:t>non abbia pagato tali importi, il perfezionamento della definizione costituisce titolo per ottenere lo sgravio del ruolo, o dell’ingiunzione di pagamento, o del carico relativo all’accertamento esecutivo, cui la richiesta di definizione si riferisce.</w:t>
      </w:r>
    </w:p>
    <w:p w:rsidR="00E4739D" w:rsidRDefault="00E4739D">
      <w:pPr>
        <w:tabs>
          <w:tab w:val="left" w:pos="0"/>
        </w:tabs>
        <w:spacing w:after="8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15" w:name="_Toc226481616"/>
      <w:r>
        <w:rPr>
          <w:rFonts w:ascii="Bookman Old Style" w:eastAsia="Bookman Old Style" w:hAnsi="Bookman Old Style" w:cs="Bookman Old Style"/>
          <w:sz w:val="22"/>
          <w:szCs w:val="22"/>
        </w:rPr>
        <w:t>Arti</w:t>
      </w:r>
      <w:r>
        <w:rPr>
          <w:rFonts w:ascii="Bookman Old Style" w:eastAsia="Bookman Old Style" w:hAnsi="Bookman Old Style" w:cs="Bookman Old Style"/>
          <w:sz w:val="22"/>
          <w:szCs w:val="22"/>
        </w:rPr>
        <w:t>colo 5 – Perfezionamento della definizione</w:t>
      </w:r>
      <w:bookmarkEnd w:id="15"/>
    </w:p>
    <w:p w:rsidR="00E4739D" w:rsidRDefault="000D6640">
      <w:pPr>
        <w:spacing w:after="80" w:line="288" w:lineRule="auto"/>
        <w:ind w:firstLine="397"/>
        <w:jc w:val="both"/>
        <w:rPr>
          <w:rFonts w:ascii="Bookman Old Style" w:eastAsia="Bookman Old Style" w:hAnsi="Bookman Old Style" w:cs="Bookman Old Style"/>
        </w:rPr>
      </w:pPr>
      <w:r>
        <w:rPr>
          <w:rFonts w:ascii="Bookman Old Style" w:eastAsia="Bookman Old Style" w:hAnsi="Bookman Old Style" w:cs="Bookman Old Style"/>
          <w:color w:val="000000"/>
        </w:rPr>
        <w:t>1. La definizione agevolata delle controversie tributarie pendenti si perfeziona con la presentazione della domanda di cui all’articolo 3, comma 1, e con il pagamento degli importi dovuti ai sensi dell’articolo 4,</w:t>
      </w:r>
      <w:r>
        <w:rPr>
          <w:rFonts w:ascii="Bookman Old Style" w:eastAsia="Bookman Old Style" w:hAnsi="Bookman Old Style" w:cs="Bookman Old Style"/>
          <w:color w:val="000000"/>
        </w:rPr>
        <w:t xml:space="preserve"> entro il 30 novembre 2026, secondo i seguenti criteri:</w:t>
      </w:r>
    </w:p>
    <w:p w:rsidR="00E4739D" w:rsidRDefault="000D6640">
      <w:pPr>
        <w:pStyle w:val="Paragrafoelenco"/>
        <w:numPr>
          <w:ilvl w:val="0"/>
          <w:numId w:val="5"/>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versamento unico o della prima rata in caso di rateizzazione: entro il 30 novembre 2026;</w:t>
      </w:r>
    </w:p>
    <w:p w:rsidR="00E4739D" w:rsidRDefault="000D6640">
      <w:pPr>
        <w:pStyle w:val="Paragrafoelenco"/>
        <w:numPr>
          <w:ilvl w:val="0"/>
          <w:numId w:val="5"/>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pagamento rateale se l’importo è superiore a mille euro: massimo 8 rate trimestrali di pari ammontare, con scad</w:t>
      </w:r>
      <w:r>
        <w:rPr>
          <w:rFonts w:ascii="Bookman Old Style" w:eastAsia="Bookman Old Style" w:hAnsi="Bookman Old Style" w:cs="Bookman Old Style"/>
          <w:color w:val="000000"/>
        </w:rPr>
        <w:t>enza 28 febbraio (29 se l’anno è bisestile), 31 maggio, 31 agosto e 30 novembre di ogni anno. L’importo minimo di ciascuna rata non può essere inferiore a 50,00 euro;</w:t>
      </w:r>
    </w:p>
    <w:p w:rsidR="00E4739D" w:rsidRDefault="000D6640">
      <w:pPr>
        <w:pStyle w:val="Paragrafoelenco"/>
        <w:numPr>
          <w:ilvl w:val="0"/>
          <w:numId w:val="5"/>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Per importi superiori ad euro 50.000,00, la concessione della rateizzazione, di cui al pu</w:t>
      </w:r>
      <w:r>
        <w:rPr>
          <w:rFonts w:ascii="Bookman Old Style" w:eastAsia="Bookman Old Style" w:hAnsi="Bookman Old Style" w:cs="Bookman Old Style"/>
          <w:color w:val="000000"/>
        </w:rPr>
        <w:t>nto precedente, è subordinata alla presentazione di idonea garanzia fideiussoria;</w:t>
      </w:r>
    </w:p>
    <w:p w:rsidR="00E4739D" w:rsidRDefault="000D6640">
      <w:pPr>
        <w:spacing w:after="80" w:line="288" w:lineRule="auto"/>
        <w:ind w:firstLine="397"/>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2 . In caso di mancato ovvero di insufficiente o tardivo versamento, superiore a cinque giorni rispetto alla scadenza stabilita, del versamento unico o della prima rata, in c</w:t>
      </w:r>
      <w:r>
        <w:rPr>
          <w:rFonts w:ascii="Bookman Old Style" w:eastAsia="Bookman Old Style" w:hAnsi="Bookman Old Style" w:cs="Bookman Old Style"/>
          <w:color w:val="000000"/>
        </w:rPr>
        <w:t xml:space="preserve">aso di </w:t>
      </w:r>
      <w:r>
        <w:rPr>
          <w:rFonts w:ascii="Bookman Old Style" w:eastAsia="Bookman Old Style" w:hAnsi="Bookman Old Style" w:cs="Bookman Old Style"/>
          <w:color w:val="000000"/>
        </w:rPr>
        <w:lastRenderedPageBreak/>
        <w:t>versamento rateale, la definizione non produce effetti. In tal caso, relativamente ai debiti per i quali la definizione non ha prodotto effetti, i versamenti effettuati sono acquisiti a titolo di acconto dell'importo complessivamente dovuto.</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3. In c</w:t>
      </w:r>
      <w:r>
        <w:rPr>
          <w:rFonts w:ascii="Bookman Old Style" w:eastAsia="Bookman Old Style" w:hAnsi="Bookman Old Style" w:cs="Bookman Old Style"/>
          <w:color w:val="000000"/>
        </w:rPr>
        <w:t>aso di mancato pagamento:</w:t>
      </w:r>
    </w:p>
    <w:p w:rsidR="00E4739D" w:rsidRDefault="000D6640">
      <w:pPr>
        <w:pStyle w:val="Paragrafoelenco"/>
        <w:numPr>
          <w:ilvl w:val="0"/>
          <w:numId w:val="7"/>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di una rata, diversa dalla prima, entro la scadenza della rata successiva;</w:t>
      </w:r>
    </w:p>
    <w:p w:rsidR="00E4739D" w:rsidRDefault="000D6640">
      <w:pPr>
        <w:pStyle w:val="Paragrafoelenco"/>
        <w:numPr>
          <w:ilvl w:val="0"/>
          <w:numId w:val="7"/>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dell’ultima rata, entro 90 giorni dalla scadenza,</w:t>
      </w:r>
    </w:p>
    <w:p w:rsidR="00E4739D" w:rsidRDefault="000D6640">
      <w:pPr>
        <w:spacing w:after="120" w:line="288" w:lineRule="auto"/>
        <w:ind w:firstLine="397"/>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la definizione decade. In tal caso, relativamente ai debiti per i quali la definizione non ha prodotto ef</w:t>
      </w:r>
      <w:r>
        <w:rPr>
          <w:rFonts w:ascii="Bookman Old Style" w:eastAsia="Bookman Old Style" w:hAnsi="Bookman Old Style" w:cs="Bookman Old Style"/>
          <w:color w:val="000000"/>
        </w:rPr>
        <w:t>fetti, i versamenti effettuati sono acquisiti a titolo di acconto ai fini del calcolo dell'importo complessivamente dovuto;</w:t>
      </w:r>
    </w:p>
    <w:p w:rsidR="00E4739D" w:rsidRDefault="000D6640">
      <w:pPr>
        <w:spacing w:after="80" w:line="288" w:lineRule="auto"/>
        <w:ind w:firstLine="397"/>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4. Qualora, ai sensi dell’articolo 4, non ci siano importi da versare, la definizione si perfeziona con la sola presentazione della </w:t>
      </w:r>
      <w:r>
        <w:rPr>
          <w:rFonts w:ascii="Bookman Old Style" w:eastAsia="Bookman Old Style" w:hAnsi="Bookman Old Style" w:cs="Bookman Old Style"/>
          <w:color w:val="000000"/>
        </w:rPr>
        <w:t>domanda.</w:t>
      </w:r>
    </w:p>
    <w:p w:rsidR="00E4739D" w:rsidRDefault="000D6640">
      <w:pPr>
        <w:spacing w:after="80" w:line="288" w:lineRule="auto"/>
        <w:ind w:firstLine="397"/>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5. Il contribuente deve effettuare il versamento degli importi dovuti con riferimento ad ogni singolo atto impugnato. Nel modello di domanda, di cui all’articolo 3, saranno rese note anche le modalità di pagamento con riferimento a ciascun tributo</w:t>
      </w:r>
      <w:r>
        <w:rPr>
          <w:rFonts w:ascii="Bookman Old Style" w:eastAsia="Bookman Old Style" w:hAnsi="Bookman Old Style" w:cs="Bookman Old Style"/>
          <w:color w:val="000000"/>
        </w:rPr>
        <w:t xml:space="preserve"> comunale.</w:t>
      </w:r>
    </w:p>
    <w:p w:rsidR="00E4739D" w:rsidRDefault="000D6640">
      <w:pPr>
        <w:spacing w:after="80" w:line="288" w:lineRule="auto"/>
        <w:ind w:firstLine="397"/>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6. La definizione agevolata perfezionata dal coobbligato giova in favore degli altri, compresi quelli per i quali la controversia non sia più pendente.</w:t>
      </w:r>
    </w:p>
    <w:p w:rsidR="00E4739D" w:rsidRDefault="000D6640">
      <w:pPr>
        <w:spacing w:after="80" w:line="288" w:lineRule="auto"/>
        <w:ind w:firstLine="397"/>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7. Non possono essere definite le controversie decise con sentenze definitive alla data di pe</w:t>
      </w:r>
      <w:r>
        <w:rPr>
          <w:rFonts w:ascii="Bookman Old Style" w:eastAsia="Bookman Old Style" w:hAnsi="Bookman Old Style" w:cs="Bookman Old Style"/>
          <w:color w:val="000000"/>
        </w:rPr>
        <w:t xml:space="preserve">rfezionamento della definizione. </w:t>
      </w:r>
    </w:p>
    <w:p w:rsidR="00E4739D" w:rsidRDefault="00E4739D">
      <w:pPr>
        <w:spacing w:after="80" w:line="288" w:lineRule="auto"/>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16" w:name="_Toc226481617"/>
      <w:r>
        <w:rPr>
          <w:rFonts w:ascii="Bookman Old Style" w:eastAsia="Bookman Old Style" w:hAnsi="Bookman Old Style" w:cs="Bookman Old Style"/>
          <w:sz w:val="22"/>
          <w:szCs w:val="22"/>
        </w:rPr>
        <w:t>Articolo 6 – Diniego della definizione</w:t>
      </w:r>
      <w:bookmarkEnd w:id="16"/>
    </w:p>
    <w:p w:rsidR="00E4739D" w:rsidRDefault="000D6640">
      <w:pPr>
        <w:spacing w:after="80" w:line="288" w:lineRule="auto"/>
        <w:ind w:left="397" w:firstLine="323"/>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1. L'eventuale diniego della definizione agevolata deve essere notificato entro il sessantesimo giorno dalla data di ricevimento della domanda di cui all’articolo 3, comma 1. </w:t>
      </w:r>
    </w:p>
    <w:p w:rsidR="00E4739D" w:rsidRDefault="000D6640">
      <w:pPr>
        <w:spacing w:after="80" w:line="288" w:lineRule="auto"/>
        <w:ind w:left="397" w:firstLine="323"/>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2. Il </w:t>
      </w:r>
      <w:r>
        <w:rPr>
          <w:rFonts w:ascii="Bookman Old Style" w:eastAsia="Bookman Old Style" w:hAnsi="Bookman Old Style" w:cs="Bookman Old Style"/>
          <w:color w:val="000000"/>
        </w:rPr>
        <w:t>diniego è impugnabile entro sessanta giorni dalla notificazione.</w:t>
      </w:r>
    </w:p>
    <w:p w:rsidR="00E4739D" w:rsidRDefault="00E4739D">
      <w:pPr>
        <w:spacing w:after="80" w:line="288" w:lineRule="auto"/>
        <w:ind w:firstLine="397"/>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17" w:name="_Toc226481618"/>
      <w:r>
        <w:rPr>
          <w:rFonts w:ascii="Bookman Old Style" w:eastAsia="Bookman Old Style" w:hAnsi="Bookman Old Style" w:cs="Bookman Old Style"/>
          <w:sz w:val="22"/>
          <w:szCs w:val="22"/>
        </w:rPr>
        <w:t>Articolo 7 – Sospensione del processo</w:t>
      </w:r>
      <w:bookmarkEnd w:id="17"/>
    </w:p>
    <w:p w:rsidR="00E4739D" w:rsidRDefault="000D6640">
      <w:pPr>
        <w:spacing w:after="80" w:line="288" w:lineRule="auto"/>
        <w:ind w:firstLine="397"/>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1. La richiesta del contribuente di avvalersi della definizione agevolata comporta la sospensione, su istanza di parte, del procedimento giurisdizionale</w:t>
      </w:r>
      <w:r>
        <w:rPr>
          <w:rFonts w:ascii="Bookman Old Style" w:eastAsia="Bookman Old Style" w:hAnsi="Bookman Old Style" w:cs="Bookman Old Style"/>
          <w:color w:val="000000"/>
        </w:rPr>
        <w:t>, in qualunque stato e grado questo sia eventualmente pendente, sino al perfezionamento della definizione nei termini di cui all’articolo 5. Successivamente, su istanza di una delle parti, è presentata istanza di estinzione del giudizio e le spese del proc</w:t>
      </w:r>
      <w:r>
        <w:rPr>
          <w:rFonts w:ascii="Bookman Old Style" w:eastAsia="Bookman Old Style" w:hAnsi="Bookman Old Style" w:cs="Bookman Old Style"/>
          <w:color w:val="000000"/>
        </w:rPr>
        <w:t>esso restano a carico della parte che le ha anticipate.</w:t>
      </w:r>
    </w:p>
    <w:p w:rsidR="00E4739D" w:rsidRDefault="00E4739D">
      <w:pPr>
        <w:spacing w:after="80" w:line="288" w:lineRule="auto"/>
        <w:ind w:firstLine="397"/>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18" w:name="_Toc226481619"/>
      <w:r>
        <w:rPr>
          <w:rFonts w:ascii="Bookman Old Style" w:eastAsia="Bookman Old Style" w:hAnsi="Bookman Old Style" w:cs="Bookman Old Style"/>
          <w:sz w:val="22"/>
          <w:szCs w:val="22"/>
        </w:rPr>
        <w:t>Articolo 8 – Entrata in vigore</w:t>
      </w:r>
      <w:bookmarkEnd w:id="18"/>
    </w:p>
    <w:p w:rsidR="00E4739D" w:rsidRDefault="000D6640">
      <w:pPr>
        <w:spacing w:after="80" w:line="288" w:lineRule="auto"/>
        <w:ind w:firstLine="397"/>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1. Il presente regolamento entra in vigore dalla data di pubblicazione sul sito istituzionale del Comune di Solarino.</w:t>
      </w:r>
    </w:p>
    <w:p w:rsidR="00E4739D" w:rsidRDefault="00E4739D">
      <w:pPr>
        <w:spacing w:after="80" w:line="288" w:lineRule="auto"/>
        <w:ind w:firstLine="397"/>
        <w:jc w:val="both"/>
        <w:rPr>
          <w:rFonts w:ascii="Bookman Old Style" w:eastAsia="Bookman Old Style" w:hAnsi="Bookman Old Style" w:cs="Bookman Old Style"/>
          <w:color w:val="000000"/>
        </w:rPr>
      </w:pPr>
    </w:p>
    <w:p w:rsidR="00E4739D" w:rsidRDefault="00E4739D">
      <w:pPr>
        <w:spacing w:after="80" w:line="288" w:lineRule="auto"/>
        <w:ind w:firstLine="397"/>
        <w:jc w:val="both"/>
        <w:rPr>
          <w:rFonts w:ascii="Bookman Old Style" w:eastAsia="Bookman Old Style" w:hAnsi="Bookman Old Style" w:cs="Bookman Old Style"/>
          <w:color w:val="000000"/>
        </w:rPr>
      </w:pPr>
    </w:p>
    <w:p w:rsidR="00E4739D" w:rsidRDefault="00E4739D">
      <w:pPr>
        <w:spacing w:after="80" w:line="288" w:lineRule="auto"/>
        <w:ind w:firstLine="397"/>
        <w:jc w:val="both"/>
        <w:rPr>
          <w:rFonts w:ascii="Bookman Old Style" w:eastAsia="Bookman Old Style" w:hAnsi="Bookman Old Style" w:cs="Bookman Old Style"/>
          <w:color w:val="000000"/>
        </w:rPr>
      </w:pPr>
    </w:p>
    <w:p w:rsidR="00E4739D" w:rsidRDefault="00E4739D">
      <w:pPr>
        <w:spacing w:after="80" w:line="288" w:lineRule="auto"/>
        <w:ind w:firstLine="397"/>
        <w:jc w:val="both"/>
        <w:rPr>
          <w:rFonts w:ascii="Bookman Old Style" w:eastAsia="Bookman Old Style" w:hAnsi="Bookman Old Style" w:cs="Bookman Old Style"/>
          <w:color w:val="000000"/>
        </w:rPr>
      </w:pPr>
    </w:p>
    <w:p w:rsidR="00E4739D" w:rsidRDefault="00E4739D">
      <w:pPr>
        <w:spacing w:after="80" w:line="288" w:lineRule="auto"/>
        <w:jc w:val="center"/>
        <w:rPr>
          <w:rFonts w:ascii="Bookman Old Style" w:eastAsia="Bookman Old Style" w:hAnsi="Bookman Old Style" w:cs="Bookman Old Style"/>
        </w:rPr>
      </w:pPr>
    </w:p>
    <w:p w:rsidR="00E4739D" w:rsidRDefault="000D6640">
      <w:pPr>
        <w:pStyle w:val="Titolo3"/>
        <w:spacing w:after="120" w:line="288" w:lineRule="auto"/>
      </w:pPr>
      <w:bookmarkStart w:id="19" w:name="_Toc226481620"/>
      <w:r>
        <w:rPr>
          <w:rFonts w:ascii="Bookman Old Style" w:eastAsia="Bookman Old Style" w:hAnsi="Bookman Old Style" w:cs="Bookman Old Style"/>
        </w:rPr>
        <w:t>PARTE III- CONCILIAZIONE AGEVOLATA DEI RICORS</w:t>
      </w:r>
      <w:r>
        <w:rPr>
          <w:rFonts w:ascii="Bookman Old Style" w:eastAsia="Bookman Old Style" w:hAnsi="Bookman Old Style" w:cs="Bookman Old Style"/>
        </w:rPr>
        <w:t>I</w:t>
      </w:r>
      <w:bookmarkEnd w:id="19"/>
      <w:r>
        <w:rPr>
          <w:rFonts w:ascii="Bookman Old Style" w:eastAsia="Bookman Old Style" w:hAnsi="Bookman Old Style" w:cs="Bookman Old Style"/>
          <w:i/>
          <w:iCs/>
          <w:sz w:val="22"/>
          <w:szCs w:val="22"/>
        </w:rPr>
        <w:t xml:space="preserve"> </w:t>
      </w:r>
    </w:p>
    <w:p w:rsidR="00E4739D" w:rsidRDefault="00E4739D">
      <w:pPr>
        <w:tabs>
          <w:tab w:val="left" w:pos="0"/>
        </w:tabs>
        <w:spacing w:after="8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pPr>
      <w:bookmarkStart w:id="20" w:name="_Toc226481621"/>
      <w:r>
        <w:rPr>
          <w:rFonts w:ascii="Bookman Old Style" w:eastAsia="Bookman Old Style" w:hAnsi="Bookman Old Style" w:cs="Bookman Old Style"/>
          <w:sz w:val="22"/>
          <w:szCs w:val="22"/>
        </w:rPr>
        <w:t>Articolo 1 - Oggetto del Regolamento</w:t>
      </w:r>
      <w:bookmarkEnd w:id="20"/>
      <w:r>
        <w:rPr>
          <w:rFonts w:ascii="Bookman Old Style" w:eastAsia="Bookman Old Style" w:hAnsi="Bookman Old Style" w:cs="Bookman Old Style"/>
          <w:i/>
          <w:iCs/>
          <w:sz w:val="22"/>
          <w:szCs w:val="22"/>
        </w:rPr>
        <w:t xml:space="preserve"> </w:t>
      </w:r>
    </w:p>
    <w:p w:rsidR="00E4739D" w:rsidRDefault="000D6640">
      <w:pPr>
        <w:tabs>
          <w:tab w:val="left" w:pos="0"/>
        </w:tabs>
        <w:spacing w:after="120" w:line="288" w:lineRule="auto"/>
        <w:ind w:firstLine="284"/>
        <w:jc w:val="both"/>
        <w:rPr>
          <w:rFonts w:ascii="Times New Roman" w:eastAsia="Times New Roman" w:hAnsi="Times New Roman" w:cs="Times New Roman"/>
          <w:color w:val="000000"/>
          <w:sz w:val="24"/>
          <w:szCs w:val="24"/>
        </w:rPr>
      </w:pPr>
      <w:r>
        <w:rPr>
          <w:rFonts w:ascii="Bookman Old Style" w:eastAsia="Bookman Old Style" w:hAnsi="Bookman Old Style" w:cs="Bookman Old Style"/>
          <w:color w:val="000000"/>
        </w:rPr>
        <w:t xml:space="preserve">1. Il presente regolamento adottato nell'ambito della potestà prevista dall’articolo 52 del decreto legislativo 15 dicembre 1997, n. 446 ed in attuazione dell’articolo 1, commi da 102 a 110 della legge 30 dicembre </w:t>
      </w:r>
      <w:r>
        <w:rPr>
          <w:rFonts w:ascii="Bookman Old Style" w:eastAsia="Bookman Old Style" w:hAnsi="Bookman Old Style" w:cs="Bookman Old Style"/>
          <w:color w:val="000000"/>
        </w:rPr>
        <w:t>2025, n. 199, disciplina la definizione agevolata delle controversie tributarie pendenti al 1° gennaio 2026 attraverso l’istituto della conciliazione agevolata.</w:t>
      </w:r>
    </w:p>
    <w:p w:rsidR="00E4739D" w:rsidRDefault="00E4739D">
      <w:pPr>
        <w:tabs>
          <w:tab w:val="left" w:pos="0"/>
        </w:tabs>
        <w:spacing w:after="80" w:line="288" w:lineRule="auto"/>
        <w:ind w:firstLine="284"/>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21" w:name="_Toc226481622"/>
      <w:r>
        <w:rPr>
          <w:rFonts w:ascii="Bookman Old Style" w:eastAsia="Bookman Old Style" w:hAnsi="Bookman Old Style" w:cs="Bookman Old Style"/>
          <w:sz w:val="22"/>
          <w:szCs w:val="22"/>
        </w:rPr>
        <w:t>Articolo 2 – Oggetto della definizione agevolata</w:t>
      </w:r>
      <w:bookmarkEnd w:id="21"/>
      <w:r>
        <w:rPr>
          <w:rFonts w:ascii="Bookman Old Style" w:eastAsia="Bookman Old Style" w:hAnsi="Bookman Old Style" w:cs="Bookman Old Style"/>
          <w:sz w:val="22"/>
          <w:szCs w:val="22"/>
        </w:rPr>
        <w:t xml:space="preserve"> </w:t>
      </w:r>
    </w:p>
    <w:p w:rsidR="00E4739D" w:rsidRDefault="000D6640">
      <w:pPr>
        <w:spacing w:after="80" w:line="288" w:lineRule="auto"/>
        <w:ind w:firstLine="397"/>
        <w:jc w:val="both"/>
        <w:rPr>
          <w:rFonts w:ascii="Garamond" w:eastAsia="Garamond" w:hAnsi="Garamond" w:cs="Garamond"/>
          <w:color w:val="000000"/>
          <w:sz w:val="23"/>
          <w:szCs w:val="23"/>
        </w:rPr>
      </w:pPr>
      <w:r>
        <w:rPr>
          <w:rFonts w:ascii="Bookman Old Style" w:eastAsia="Bookman Old Style" w:hAnsi="Bookman Old Style" w:cs="Bookman Old Style"/>
          <w:color w:val="000000"/>
        </w:rPr>
        <w:t xml:space="preserve">1. Oggetto della definizione agevolata sono </w:t>
      </w:r>
      <w:r>
        <w:rPr>
          <w:rFonts w:ascii="Bookman Old Style" w:eastAsia="Bookman Old Style" w:hAnsi="Bookman Old Style" w:cs="Bookman Old Style"/>
          <w:color w:val="000000"/>
        </w:rPr>
        <w:t>le controversie tributarie pendenti, in ogni stato e grado del giudizio, compreso quello in cassazione ed anche a seguito di rinvio, il cui ricorso introduttivo sia stato notificato al Comune impositore entro la data del 1° gennaio 2026.</w:t>
      </w:r>
    </w:p>
    <w:p w:rsidR="00E4739D" w:rsidRDefault="00E4739D">
      <w:pPr>
        <w:spacing w:after="80" w:line="288" w:lineRule="auto"/>
        <w:ind w:firstLine="397"/>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22" w:name="_Toc226481623"/>
      <w:r>
        <w:rPr>
          <w:rFonts w:ascii="Bookman Old Style" w:eastAsia="Bookman Old Style" w:hAnsi="Bookman Old Style" w:cs="Bookman Old Style"/>
          <w:sz w:val="22"/>
          <w:szCs w:val="22"/>
        </w:rPr>
        <w:t>Articolo 3 – Conc</w:t>
      </w:r>
      <w:r>
        <w:rPr>
          <w:rFonts w:ascii="Bookman Old Style" w:eastAsia="Bookman Old Style" w:hAnsi="Bookman Old Style" w:cs="Bookman Old Style"/>
          <w:sz w:val="22"/>
          <w:szCs w:val="22"/>
        </w:rPr>
        <w:t>iliazione agevolata</w:t>
      </w:r>
      <w:bookmarkEnd w:id="22"/>
    </w:p>
    <w:p w:rsidR="00E4739D" w:rsidRDefault="000D6640">
      <w:pPr>
        <w:spacing w:after="80" w:line="288" w:lineRule="auto"/>
        <w:ind w:firstLine="397"/>
        <w:jc w:val="both"/>
        <w:rPr>
          <w:rFonts w:ascii="Garamond" w:eastAsia="Garamond" w:hAnsi="Garamond" w:cs="Garamond"/>
          <w:color w:val="000000"/>
          <w:sz w:val="23"/>
          <w:szCs w:val="23"/>
        </w:rPr>
      </w:pPr>
      <w:r>
        <w:rPr>
          <w:rFonts w:ascii="Bookman Old Style" w:eastAsia="Bookman Old Style" w:hAnsi="Bookman Old Style" w:cs="Bookman Old Style"/>
          <w:color w:val="000000"/>
        </w:rPr>
        <w:t>1. Le controversie pendenti alla data del 1° gennaio 2026 aventi ad oggetto atti impositivi, in cui è parte il Comune impositore, possono essere definite, entro il 30 settembre 2026, con l'accordo conciliativo di cui all'articolo 48 del</w:t>
      </w:r>
      <w:r>
        <w:rPr>
          <w:rFonts w:ascii="Bookman Old Style" w:eastAsia="Bookman Old Style" w:hAnsi="Bookman Old Style" w:cs="Bookman Old Style"/>
          <w:color w:val="000000"/>
        </w:rPr>
        <w:t xml:space="preserve"> decreto legislativo 31 dicembre 1992, n. 546.</w:t>
      </w:r>
    </w:p>
    <w:p w:rsidR="00E4739D" w:rsidRDefault="000D6640">
      <w:pPr>
        <w:spacing w:after="80" w:line="288" w:lineRule="auto"/>
        <w:ind w:firstLine="397"/>
        <w:jc w:val="both"/>
        <w:rPr>
          <w:rFonts w:ascii="Garamond" w:eastAsia="Garamond" w:hAnsi="Garamond" w:cs="Garamond"/>
          <w:color w:val="000000"/>
          <w:sz w:val="23"/>
          <w:szCs w:val="23"/>
        </w:rPr>
      </w:pPr>
      <w:r>
        <w:rPr>
          <w:rFonts w:ascii="Bookman Old Style" w:eastAsia="Bookman Old Style" w:hAnsi="Bookman Old Style" w:cs="Bookman Old Style"/>
          <w:color w:val="000000"/>
        </w:rPr>
        <w:t>2. All’accordo conciliativo di cui al comma 1 si applicano le sanzioni ridotte a un diciottesimo del minimo previsto dalla legge, gli interessi e gli eventuali accessori.</w:t>
      </w:r>
    </w:p>
    <w:p w:rsidR="00E4739D" w:rsidRDefault="000D6640">
      <w:pPr>
        <w:spacing w:after="80" w:line="288" w:lineRule="auto"/>
        <w:ind w:firstLine="397"/>
        <w:jc w:val="both"/>
        <w:rPr>
          <w:rFonts w:ascii="Bookman Old Style" w:eastAsia="Bookman Old Style" w:hAnsi="Bookman Old Style" w:cs="Bookman Old Style"/>
        </w:rPr>
      </w:pPr>
      <w:r>
        <w:rPr>
          <w:rFonts w:ascii="Bookman Old Style" w:eastAsia="Bookman Old Style" w:hAnsi="Bookman Old Style" w:cs="Bookman Old Style"/>
        </w:rPr>
        <w:t>3. Il versamento delle somme dovute, e</w:t>
      </w:r>
      <w:r>
        <w:rPr>
          <w:rFonts w:ascii="Bookman Old Style" w:eastAsia="Bookman Old Style" w:hAnsi="Bookman Old Style" w:cs="Bookman Old Style"/>
        </w:rPr>
        <w:t>ffettuato secondo le disposizioni recate dall’articolo 48-ter, commi 2 e 4, del decreto legislativo 31 dicembre 1992, n. 546, deve essere effettuato:</w:t>
      </w:r>
    </w:p>
    <w:p w:rsidR="00E4739D" w:rsidRDefault="000D6640">
      <w:pPr>
        <w:numPr>
          <w:ilvl w:val="0"/>
          <w:numId w:val="2"/>
        </w:numPr>
        <w:spacing w:line="288" w:lineRule="auto"/>
        <w:jc w:val="both"/>
        <w:rPr>
          <w:rFonts w:ascii="Bookman Old Style" w:eastAsia="Bookman Old Style" w:hAnsi="Bookman Old Style" w:cs="Bookman Old Style"/>
        </w:rPr>
      </w:pPr>
      <w:r>
        <w:rPr>
          <w:rFonts w:ascii="Bookman Old Style" w:eastAsia="Bookman Old Style" w:hAnsi="Bookman Old Style" w:cs="Bookman Old Style"/>
        </w:rPr>
        <w:t>entro 20 giorni dalla data di sottoscrizione dell’accordo conciliativo;</w:t>
      </w:r>
    </w:p>
    <w:p w:rsidR="00E4739D" w:rsidRDefault="000D6640">
      <w:pPr>
        <w:numPr>
          <w:ilvl w:val="0"/>
          <w:numId w:val="2"/>
        </w:numPr>
        <w:spacing w:line="288" w:lineRule="auto"/>
        <w:jc w:val="both"/>
        <w:rPr>
          <w:rFonts w:ascii="Bookman Old Style" w:eastAsia="Bookman Old Style" w:hAnsi="Bookman Old Style" w:cs="Bookman Old Style"/>
        </w:rPr>
      </w:pPr>
      <w:r>
        <w:rPr>
          <w:rFonts w:ascii="Bookman Old Style" w:eastAsia="Bookman Old Style" w:hAnsi="Bookman Old Style" w:cs="Bookman Old Style"/>
        </w:rPr>
        <w:t xml:space="preserve">se l’importo dovuto è superiore a </w:t>
      </w:r>
      <w:r>
        <w:rPr>
          <w:rFonts w:ascii="Bookman Old Style" w:eastAsia="Bookman Old Style" w:hAnsi="Bookman Old Style" w:cs="Bookman Old Style"/>
        </w:rPr>
        <w:t>mille euro è ammesso il pagamento rateale, nel numero massimo di otto rate, la prima entro la scadenza di cui al punto precedente, e le restanti, di pari ammontare, con scadenza al giorno 28 febbraio (29 se l’anno è bisestile), 31 maggio, 31 agosto e 30 no</w:t>
      </w:r>
      <w:r>
        <w:rPr>
          <w:rFonts w:ascii="Bookman Old Style" w:eastAsia="Bookman Old Style" w:hAnsi="Bookman Old Style" w:cs="Bookman Old Style"/>
        </w:rPr>
        <w:t>vembre di ogni anno;</w:t>
      </w:r>
    </w:p>
    <w:p w:rsidR="00E4739D" w:rsidRDefault="000D6640">
      <w:pPr>
        <w:numPr>
          <w:ilvl w:val="0"/>
          <w:numId w:val="2"/>
        </w:numPr>
        <w:tabs>
          <w:tab w:val="left" w:pos="0"/>
        </w:tabs>
        <w:spacing w:after="120" w:line="288" w:lineRule="auto"/>
        <w:jc w:val="both"/>
        <w:rPr>
          <w:rFonts w:ascii="Bookman Old Style" w:eastAsia="Bookman Old Style" w:hAnsi="Bookman Old Style" w:cs="Bookman Old Style"/>
        </w:rPr>
      </w:pPr>
      <w:r>
        <w:rPr>
          <w:rFonts w:ascii="Bookman Old Style" w:eastAsia="Bookman Old Style" w:hAnsi="Bookman Old Style" w:cs="Bookman Old Style"/>
        </w:rPr>
        <w:t>per importi superiori ad euro 50.000,00, la concessione della rateizzazione, di cui al punto precedente, è subordinata alla presentazione di idonea garanzia fideiussoria.</w:t>
      </w:r>
    </w:p>
    <w:p w:rsidR="00E4739D" w:rsidRDefault="000D6640">
      <w:pPr>
        <w:spacing w:after="80" w:line="288" w:lineRule="auto"/>
        <w:ind w:firstLine="397"/>
        <w:jc w:val="both"/>
        <w:rPr>
          <w:rFonts w:ascii="Bookman Old Style" w:eastAsia="Bookman Old Style" w:hAnsi="Bookman Old Style" w:cs="Bookman Old Style"/>
          <w:color w:val="000000"/>
        </w:rPr>
      </w:pPr>
      <w:r>
        <w:rPr>
          <w:rFonts w:ascii="Bookman Old Style" w:eastAsia="Bookman Old Style" w:hAnsi="Bookman Old Style" w:cs="Bookman Old Style"/>
        </w:rPr>
        <w:t>4. Il mancato pagamento entro il termine di cui al comma precede</w:t>
      </w:r>
      <w:r>
        <w:rPr>
          <w:rFonts w:ascii="Bookman Old Style" w:eastAsia="Bookman Old Style" w:hAnsi="Bookman Old Style" w:cs="Bookman Old Style"/>
        </w:rPr>
        <w:t xml:space="preserve">nte, del versamento unico o della prima rata, in caso di versamento rateale, comporta la decadenza della definizione agevolata. </w:t>
      </w:r>
      <w:r>
        <w:rPr>
          <w:rFonts w:ascii="Bookman Old Style" w:eastAsia="Bookman Old Style" w:hAnsi="Bookman Old Style" w:cs="Bookman Old Style"/>
          <w:color w:val="000000"/>
        </w:rPr>
        <w:t>In tal caso, i versamenti effettuati sono acquisiti a titolo di acconto dell'importo complessivamente dovuto;</w:t>
      </w:r>
    </w:p>
    <w:p w:rsidR="00E4739D" w:rsidRDefault="000D6640">
      <w:pPr>
        <w:tabs>
          <w:tab w:val="left" w:pos="0"/>
        </w:tabs>
        <w:spacing w:after="120" w:line="288" w:lineRule="auto"/>
        <w:ind w:firstLine="284"/>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5. In caso di manc</w:t>
      </w:r>
      <w:r>
        <w:rPr>
          <w:rFonts w:ascii="Bookman Old Style" w:eastAsia="Bookman Old Style" w:hAnsi="Bookman Old Style" w:cs="Bookman Old Style"/>
          <w:color w:val="000000"/>
        </w:rPr>
        <w:t>ato pagamento:</w:t>
      </w:r>
    </w:p>
    <w:p w:rsidR="00E4739D" w:rsidRDefault="000D6640">
      <w:pPr>
        <w:pStyle w:val="Paragrafoelenco"/>
        <w:numPr>
          <w:ilvl w:val="0"/>
          <w:numId w:val="7"/>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di una rata, diversa dalla prima, entro la scadenza della rata successiva;</w:t>
      </w:r>
    </w:p>
    <w:p w:rsidR="00E4739D" w:rsidRDefault="000D6640">
      <w:pPr>
        <w:pStyle w:val="Paragrafoelenco"/>
        <w:numPr>
          <w:ilvl w:val="0"/>
          <w:numId w:val="7"/>
        </w:numPr>
        <w:tabs>
          <w:tab w:val="left" w:pos="0"/>
        </w:tabs>
        <w:spacing w:after="120" w:line="288" w:lineRule="auto"/>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dell’ultima rata, entro 90 giorni dalla scadenza,</w:t>
      </w:r>
    </w:p>
    <w:p w:rsidR="00E4739D" w:rsidRDefault="000D6640">
      <w:pPr>
        <w:spacing w:after="80" w:line="288" w:lineRule="auto"/>
        <w:ind w:firstLine="397"/>
        <w:jc w:val="both"/>
        <w:rPr>
          <w:rFonts w:ascii="Bookman Old Style" w:eastAsia="Bookman Old Style" w:hAnsi="Bookman Old Style" w:cs="Bookman Old Style"/>
        </w:rPr>
      </w:pPr>
      <w:r>
        <w:rPr>
          <w:rFonts w:ascii="Bookman Old Style" w:eastAsia="Bookman Old Style" w:hAnsi="Bookman Old Style" w:cs="Bookman Old Style"/>
          <w:color w:val="000000"/>
        </w:rPr>
        <w:t>la definizione decade. In tal caso, relativamente ai debiti per i quali la definizione non ha prodotto effetti, i ve</w:t>
      </w:r>
      <w:r>
        <w:rPr>
          <w:rFonts w:ascii="Bookman Old Style" w:eastAsia="Bookman Old Style" w:hAnsi="Bookman Old Style" w:cs="Bookman Old Style"/>
          <w:color w:val="000000"/>
        </w:rPr>
        <w:t>rsamenti effettuati sono acquisiti a titolo di acconto ai fini del calcolo dell'importo complessivamente dovuto.</w:t>
      </w:r>
      <w:r>
        <w:rPr>
          <w:rFonts w:ascii="Bookman Old Style" w:eastAsia="Bookman Old Style" w:hAnsi="Bookman Old Style" w:cs="Bookman Old Style"/>
        </w:rPr>
        <w:tab/>
      </w:r>
    </w:p>
    <w:p w:rsidR="00E4739D" w:rsidRDefault="00E4739D">
      <w:pPr>
        <w:spacing w:after="80" w:line="288" w:lineRule="auto"/>
        <w:ind w:firstLine="397"/>
        <w:jc w:val="both"/>
        <w:rPr>
          <w:rFonts w:ascii="Bookman Old Style" w:eastAsia="Bookman Old Style" w:hAnsi="Bookman Old Style" w:cs="Bookman Old Style"/>
          <w:color w:val="000000"/>
        </w:rPr>
      </w:pPr>
    </w:p>
    <w:p w:rsidR="00E4739D" w:rsidRDefault="000D6640">
      <w:pPr>
        <w:pStyle w:val="Titolo3"/>
        <w:spacing w:after="120" w:line="288" w:lineRule="auto"/>
        <w:jc w:val="both"/>
        <w:rPr>
          <w:rFonts w:ascii="Bookman Old Style" w:eastAsia="Bookman Old Style" w:hAnsi="Bookman Old Style" w:cs="Bookman Old Style"/>
          <w:sz w:val="22"/>
          <w:szCs w:val="22"/>
        </w:rPr>
      </w:pPr>
      <w:bookmarkStart w:id="23" w:name="_Toc226481624"/>
      <w:r>
        <w:rPr>
          <w:rFonts w:ascii="Bookman Old Style" w:eastAsia="Bookman Old Style" w:hAnsi="Bookman Old Style" w:cs="Bookman Old Style"/>
          <w:sz w:val="22"/>
          <w:szCs w:val="22"/>
        </w:rPr>
        <w:t>Articolo 4 – Entrata in vigore</w:t>
      </w:r>
      <w:bookmarkEnd w:id="23"/>
    </w:p>
    <w:p w:rsidR="00E4739D" w:rsidRDefault="000D6640">
      <w:pPr>
        <w:spacing w:after="80" w:line="288" w:lineRule="auto"/>
        <w:ind w:firstLine="397"/>
        <w:jc w:val="both"/>
        <w:rPr>
          <w:rFonts w:ascii="Garamond" w:eastAsia="Garamond" w:hAnsi="Garamond" w:cs="Garamond"/>
          <w:strike/>
          <w:color w:val="000000"/>
          <w:sz w:val="23"/>
          <w:szCs w:val="23"/>
        </w:rPr>
      </w:pPr>
      <w:r>
        <w:rPr>
          <w:rFonts w:ascii="Bookman Old Style" w:eastAsia="Bookman Old Style" w:hAnsi="Bookman Old Style" w:cs="Bookman Old Style"/>
          <w:color w:val="000000"/>
        </w:rPr>
        <w:t xml:space="preserve">1 Il presente regolamento entra in vigore dalla data di pubblicazione sul sito istituzionale del Comune di </w:t>
      </w:r>
      <w:r>
        <w:rPr>
          <w:rFonts w:ascii="Bookman Old Style" w:eastAsia="Bookman Old Style" w:hAnsi="Bookman Old Style" w:cs="Bookman Old Style"/>
          <w:color w:val="000000"/>
        </w:rPr>
        <w:t>Solarino.</w:t>
      </w:r>
    </w:p>
    <w:sectPr w:rsidR="00E4739D">
      <w:footerReference w:type="even" r:id="rId7"/>
      <w:footerReference w:type="default" r:id="rId8"/>
      <w:footerReference w:type="first" r:id="rId9"/>
      <w:pgSz w:w="11906" w:h="16838"/>
      <w:pgMar w:top="1134" w:right="1134" w:bottom="1560" w:left="1134" w:header="0" w:footer="1134" w:gutter="0"/>
      <w:pgNumType w:start="1"/>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640" w:rsidRDefault="000D6640">
      <w:r>
        <w:separator/>
      </w:r>
    </w:p>
  </w:endnote>
  <w:endnote w:type="continuationSeparator" w:id="0">
    <w:p w:rsidR="000D6640" w:rsidRDefault="000D6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Arial"/>
    <w:charset w:val="01"/>
    <w:family w:val="swiss"/>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embedRegular r:id="rId1" w:fontKey="{7F0B6E6C-8628-4BE9-A379-AEB6516F1B00}"/>
  </w:font>
  <w:font w:name="Calibri">
    <w:panose1 w:val="020F0502020204030204"/>
    <w:charset w:val="00"/>
    <w:family w:val="swiss"/>
    <w:pitch w:val="variable"/>
    <w:sig w:usb0="E4002EFF" w:usb1="C200247B" w:usb2="00000009" w:usb3="00000000" w:csb0="000001FF" w:csb1="00000000"/>
    <w:embedRegular r:id="rId2" w:fontKey="{5A3E7169-5006-4DFB-A572-9ACB60916704}"/>
    <w:embedBold r:id="rId3" w:fontKey="{DFA95760-8039-43DC-BF76-E492904C685C}"/>
    <w:embedItalic r:id="rId4" w:fontKey="{6E08D6A5-CCA1-4588-8ED1-BAD3F1AED55E}"/>
  </w:font>
  <w:font w:name="Lucida Sans">
    <w:panose1 w:val="020B0602030504020204"/>
    <w:charset w:val="00"/>
    <w:family w:val="swiss"/>
    <w:pitch w:val="variable"/>
    <w:sig w:usb0="00000003" w:usb1="00000000" w:usb2="00000000" w:usb3="00000000" w:csb0="00000001" w:csb1="00000000"/>
    <w:embedRegular r:id="rId5" w:fontKey="{9EA0736B-831B-4C0A-B134-3F197B4B066E}"/>
    <w:embedItalic r:id="rId6" w:fontKey="{19AC40C2-A0D9-40A8-8598-5968D4979F64}"/>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embedItalic r:id="rId7" w:fontKey="{3ACD28C8-58B5-49D7-A95B-50D87A2ABBD9}"/>
  </w:font>
  <w:font w:name="Bookman Old Style">
    <w:panose1 w:val="02050604050505020204"/>
    <w:charset w:val="00"/>
    <w:family w:val="roman"/>
    <w:pitch w:val="variable"/>
    <w:sig w:usb0="00000287" w:usb1="00000000" w:usb2="00000000" w:usb3="00000000" w:csb0="0000009F" w:csb1="00000000"/>
    <w:embedRegular r:id="rId8" w:fontKey="{6E85C32F-9E1C-4177-A68D-E9C9CE40C73D}"/>
    <w:embedBold r:id="rId9" w:fontKey="{10098445-F7AA-44BC-8011-E166C7AA4BB6}"/>
    <w:embedItalic r:id="rId10" w:fontKey="{07F1D782-9891-473F-A83E-4EF777502AFA}"/>
    <w:embedBoldItalic r:id="rId11" w:fontKey="{05EC3263-5EEE-4C2F-AB5B-80F5BBD90C81}"/>
  </w:font>
  <w:font w:name="Cambria">
    <w:panose1 w:val="02040503050406030204"/>
    <w:charset w:val="00"/>
    <w:family w:val="roman"/>
    <w:pitch w:val="variable"/>
    <w:sig w:usb0="E00006FF" w:usb1="420024FF" w:usb2="02000000" w:usb3="00000000" w:csb0="0000019F" w:csb1="00000000"/>
    <w:embedRegular r:id="rId12" w:fontKey="{EF0F8CB3-555B-4B48-A18C-B0AD10D6950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39D" w:rsidRDefault="00E4739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39D" w:rsidRDefault="000D6640">
    <w:pPr>
      <w:tabs>
        <w:tab w:val="center" w:pos="4819"/>
        <w:tab w:val="right" w:pos="9638"/>
      </w:tabs>
      <w:rPr>
        <w:color w:val="000000"/>
      </w:rPr>
    </w:pPr>
    <w:r>
      <w:rPr>
        <w:color w:val="000000"/>
      </w:rPr>
      <w:fldChar w:fldCharType="begin"/>
    </w:r>
    <w:r>
      <w:rPr>
        <w:color w:val="000000"/>
      </w:rPr>
      <w:instrText xml:space="preserve"> PAGE </w:instrText>
    </w:r>
    <w:r>
      <w:rPr>
        <w:color w:val="000000"/>
      </w:rPr>
      <w:fldChar w:fldCharType="separate"/>
    </w:r>
    <w:r w:rsidR="00240308">
      <w:rPr>
        <w:noProof/>
        <w:color w:val="000000"/>
      </w:rPr>
      <w:t>2</w:t>
    </w:r>
    <w:r>
      <w:rPr>
        <w:color w:val="000000"/>
      </w:rPr>
      <w:fldChar w:fldCharType="end"/>
    </w:r>
  </w:p>
  <w:p w:rsidR="00E4739D" w:rsidRDefault="00E4739D">
    <w:pPr>
      <w:tabs>
        <w:tab w:val="center" w:pos="4819"/>
        <w:tab w:val="right" w:pos="9638"/>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39D" w:rsidRDefault="000D6640">
    <w:pPr>
      <w:tabs>
        <w:tab w:val="center" w:pos="4819"/>
        <w:tab w:val="right" w:pos="9638"/>
      </w:tabs>
      <w:rPr>
        <w:color w:val="000000"/>
      </w:rPr>
    </w:pPr>
    <w:r>
      <w:rPr>
        <w:color w:val="000000"/>
      </w:rPr>
      <w:fldChar w:fldCharType="begin"/>
    </w:r>
    <w:r>
      <w:rPr>
        <w:color w:val="000000"/>
      </w:rPr>
      <w:instrText xml:space="preserve"> PAGE </w:instrText>
    </w:r>
    <w:r>
      <w:rPr>
        <w:color w:val="000000"/>
      </w:rPr>
      <w:fldChar w:fldCharType="separate"/>
    </w:r>
    <w:r>
      <w:rPr>
        <w:color w:val="000000"/>
      </w:rPr>
      <w:t>10</w:t>
    </w:r>
    <w:r>
      <w:rPr>
        <w:color w:val="000000"/>
      </w:rPr>
      <w:fldChar w:fldCharType="end"/>
    </w:r>
  </w:p>
  <w:p w:rsidR="00E4739D" w:rsidRDefault="00E4739D">
    <w:pPr>
      <w:tabs>
        <w:tab w:val="center" w:pos="4819"/>
        <w:tab w:val="right" w:pos="96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640" w:rsidRDefault="000D6640">
      <w:r>
        <w:separator/>
      </w:r>
    </w:p>
  </w:footnote>
  <w:footnote w:type="continuationSeparator" w:id="0">
    <w:p w:rsidR="000D6640" w:rsidRDefault="000D6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F5781"/>
    <w:multiLevelType w:val="multilevel"/>
    <w:tmpl w:val="60087B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9083376"/>
    <w:multiLevelType w:val="multilevel"/>
    <w:tmpl w:val="E6CCA71A"/>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bullet"/>
      <w:lvlText w:val="▪"/>
      <w:lvlJc w:val="left"/>
      <w:pPr>
        <w:tabs>
          <w:tab w:val="num" w:pos="0"/>
        </w:tabs>
        <w:ind w:left="2444" w:hanging="360"/>
      </w:pPr>
      <w:rPr>
        <w:rFonts w:ascii="Noto Sans Symbols" w:hAnsi="Noto Sans Symbols" w:cs="Noto Sans Symbols" w:hint="default"/>
      </w:rPr>
    </w:lvl>
    <w:lvl w:ilvl="3">
      <w:start w:val="1"/>
      <w:numFmt w:val="bullet"/>
      <w:lvlText w:val="●"/>
      <w:lvlJc w:val="left"/>
      <w:pPr>
        <w:tabs>
          <w:tab w:val="num" w:pos="0"/>
        </w:tabs>
        <w:ind w:left="3164" w:hanging="360"/>
      </w:pPr>
      <w:rPr>
        <w:rFonts w:ascii="Noto Sans Symbols" w:hAnsi="Noto Sans Symbols" w:cs="Noto Sans Symbols"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Noto Sans Symbols" w:hAnsi="Noto Sans Symbols" w:cs="Noto Sans Symbols" w:hint="default"/>
      </w:rPr>
    </w:lvl>
    <w:lvl w:ilvl="6">
      <w:start w:val="1"/>
      <w:numFmt w:val="bullet"/>
      <w:lvlText w:val="●"/>
      <w:lvlJc w:val="left"/>
      <w:pPr>
        <w:tabs>
          <w:tab w:val="num" w:pos="0"/>
        </w:tabs>
        <w:ind w:left="5324" w:hanging="360"/>
      </w:pPr>
      <w:rPr>
        <w:rFonts w:ascii="Noto Sans Symbols" w:hAnsi="Noto Sans Symbols" w:cs="Noto Sans Symbols"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Noto Sans Symbols" w:hAnsi="Noto Sans Symbols" w:cs="Noto Sans Symbols" w:hint="default"/>
      </w:rPr>
    </w:lvl>
  </w:abstractNum>
  <w:abstractNum w:abstractNumId="2" w15:restartNumberingAfterBreak="0">
    <w:nsid w:val="0BD64224"/>
    <w:multiLevelType w:val="multilevel"/>
    <w:tmpl w:val="4A54057E"/>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5282744"/>
    <w:multiLevelType w:val="multilevel"/>
    <w:tmpl w:val="1CEE2954"/>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4" w15:restartNumberingAfterBreak="0">
    <w:nsid w:val="32FE6C56"/>
    <w:multiLevelType w:val="multilevel"/>
    <w:tmpl w:val="0118647C"/>
    <w:lvl w:ilvl="0">
      <w:start w:val="1"/>
      <w:numFmt w:val="bullet"/>
      <w:lvlText w:val="●"/>
      <w:lvlJc w:val="left"/>
      <w:pPr>
        <w:tabs>
          <w:tab w:val="num" w:pos="0"/>
        </w:tabs>
        <w:ind w:left="1071" w:hanging="360"/>
      </w:pPr>
      <w:rPr>
        <w:rFonts w:ascii="Noto Sans Symbols" w:hAnsi="Noto Sans Symbols" w:cs="Noto Sans Symbols" w:hint="default"/>
      </w:rPr>
    </w:lvl>
    <w:lvl w:ilvl="1">
      <w:start w:val="1"/>
      <w:numFmt w:val="bullet"/>
      <w:lvlText w:val="o"/>
      <w:lvlJc w:val="left"/>
      <w:pPr>
        <w:tabs>
          <w:tab w:val="num" w:pos="0"/>
        </w:tabs>
        <w:ind w:left="1791" w:hanging="360"/>
      </w:pPr>
      <w:rPr>
        <w:rFonts w:ascii="Courier New" w:hAnsi="Courier New" w:cs="Courier New" w:hint="default"/>
      </w:rPr>
    </w:lvl>
    <w:lvl w:ilvl="2">
      <w:start w:val="1"/>
      <w:numFmt w:val="bullet"/>
      <w:lvlText w:val="▪"/>
      <w:lvlJc w:val="left"/>
      <w:pPr>
        <w:tabs>
          <w:tab w:val="num" w:pos="0"/>
        </w:tabs>
        <w:ind w:left="2511" w:hanging="360"/>
      </w:pPr>
      <w:rPr>
        <w:rFonts w:ascii="Noto Sans Symbols" w:hAnsi="Noto Sans Symbols" w:cs="Noto Sans Symbols" w:hint="default"/>
      </w:rPr>
    </w:lvl>
    <w:lvl w:ilvl="3">
      <w:start w:val="1"/>
      <w:numFmt w:val="bullet"/>
      <w:lvlText w:val="●"/>
      <w:lvlJc w:val="left"/>
      <w:pPr>
        <w:tabs>
          <w:tab w:val="num" w:pos="0"/>
        </w:tabs>
        <w:ind w:left="3231" w:hanging="360"/>
      </w:pPr>
      <w:rPr>
        <w:rFonts w:ascii="Noto Sans Symbols" w:hAnsi="Noto Sans Symbols" w:cs="Noto Sans Symbols" w:hint="default"/>
      </w:rPr>
    </w:lvl>
    <w:lvl w:ilvl="4">
      <w:start w:val="1"/>
      <w:numFmt w:val="bullet"/>
      <w:lvlText w:val="o"/>
      <w:lvlJc w:val="left"/>
      <w:pPr>
        <w:tabs>
          <w:tab w:val="num" w:pos="0"/>
        </w:tabs>
        <w:ind w:left="3951" w:hanging="360"/>
      </w:pPr>
      <w:rPr>
        <w:rFonts w:ascii="Courier New" w:hAnsi="Courier New" w:cs="Courier New" w:hint="default"/>
      </w:rPr>
    </w:lvl>
    <w:lvl w:ilvl="5">
      <w:start w:val="1"/>
      <w:numFmt w:val="bullet"/>
      <w:lvlText w:val="▪"/>
      <w:lvlJc w:val="left"/>
      <w:pPr>
        <w:tabs>
          <w:tab w:val="num" w:pos="0"/>
        </w:tabs>
        <w:ind w:left="4671" w:hanging="360"/>
      </w:pPr>
      <w:rPr>
        <w:rFonts w:ascii="Noto Sans Symbols" w:hAnsi="Noto Sans Symbols" w:cs="Noto Sans Symbols" w:hint="default"/>
      </w:rPr>
    </w:lvl>
    <w:lvl w:ilvl="6">
      <w:start w:val="1"/>
      <w:numFmt w:val="bullet"/>
      <w:lvlText w:val="●"/>
      <w:lvlJc w:val="left"/>
      <w:pPr>
        <w:tabs>
          <w:tab w:val="num" w:pos="0"/>
        </w:tabs>
        <w:ind w:left="5391" w:hanging="360"/>
      </w:pPr>
      <w:rPr>
        <w:rFonts w:ascii="Noto Sans Symbols" w:hAnsi="Noto Sans Symbols" w:cs="Noto Sans Symbols" w:hint="default"/>
      </w:rPr>
    </w:lvl>
    <w:lvl w:ilvl="7">
      <w:start w:val="1"/>
      <w:numFmt w:val="bullet"/>
      <w:lvlText w:val="o"/>
      <w:lvlJc w:val="left"/>
      <w:pPr>
        <w:tabs>
          <w:tab w:val="num" w:pos="0"/>
        </w:tabs>
        <w:ind w:left="6111" w:hanging="360"/>
      </w:pPr>
      <w:rPr>
        <w:rFonts w:ascii="Courier New" w:hAnsi="Courier New" w:cs="Courier New" w:hint="default"/>
      </w:rPr>
    </w:lvl>
    <w:lvl w:ilvl="8">
      <w:start w:val="1"/>
      <w:numFmt w:val="bullet"/>
      <w:lvlText w:val="▪"/>
      <w:lvlJc w:val="left"/>
      <w:pPr>
        <w:tabs>
          <w:tab w:val="num" w:pos="0"/>
        </w:tabs>
        <w:ind w:left="6831" w:hanging="360"/>
      </w:pPr>
      <w:rPr>
        <w:rFonts w:ascii="Noto Sans Symbols" w:hAnsi="Noto Sans Symbols" w:cs="Noto Sans Symbols" w:hint="default"/>
      </w:rPr>
    </w:lvl>
  </w:abstractNum>
  <w:abstractNum w:abstractNumId="5" w15:restartNumberingAfterBreak="0">
    <w:nsid w:val="3E881E0E"/>
    <w:multiLevelType w:val="multilevel"/>
    <w:tmpl w:val="872E8316"/>
    <w:lvl w:ilvl="0">
      <w:start w:val="1"/>
      <w:numFmt w:val="lowerLetter"/>
      <w:lvlText w:val="%1)"/>
      <w:lvlJc w:val="left"/>
      <w:pPr>
        <w:tabs>
          <w:tab w:val="num" w:pos="0"/>
        </w:tabs>
        <w:ind w:left="1117" w:hanging="360"/>
      </w:pPr>
    </w:lvl>
    <w:lvl w:ilvl="1">
      <w:start w:val="1"/>
      <w:numFmt w:val="lowerLetter"/>
      <w:lvlText w:val="%2."/>
      <w:lvlJc w:val="left"/>
      <w:pPr>
        <w:tabs>
          <w:tab w:val="num" w:pos="0"/>
        </w:tabs>
        <w:ind w:left="1837" w:hanging="360"/>
      </w:pPr>
    </w:lvl>
    <w:lvl w:ilvl="2">
      <w:start w:val="1"/>
      <w:numFmt w:val="lowerRoman"/>
      <w:lvlText w:val="%3."/>
      <w:lvlJc w:val="right"/>
      <w:pPr>
        <w:tabs>
          <w:tab w:val="num" w:pos="0"/>
        </w:tabs>
        <w:ind w:left="2557" w:hanging="180"/>
      </w:pPr>
    </w:lvl>
    <w:lvl w:ilvl="3">
      <w:start w:val="1"/>
      <w:numFmt w:val="decimal"/>
      <w:lvlText w:val="%4."/>
      <w:lvlJc w:val="left"/>
      <w:pPr>
        <w:tabs>
          <w:tab w:val="num" w:pos="0"/>
        </w:tabs>
        <w:ind w:left="3277" w:hanging="360"/>
      </w:pPr>
    </w:lvl>
    <w:lvl w:ilvl="4">
      <w:start w:val="1"/>
      <w:numFmt w:val="lowerLetter"/>
      <w:lvlText w:val="%5."/>
      <w:lvlJc w:val="left"/>
      <w:pPr>
        <w:tabs>
          <w:tab w:val="num" w:pos="0"/>
        </w:tabs>
        <w:ind w:left="3997" w:hanging="360"/>
      </w:pPr>
    </w:lvl>
    <w:lvl w:ilvl="5">
      <w:start w:val="1"/>
      <w:numFmt w:val="lowerRoman"/>
      <w:lvlText w:val="%6."/>
      <w:lvlJc w:val="right"/>
      <w:pPr>
        <w:tabs>
          <w:tab w:val="num" w:pos="0"/>
        </w:tabs>
        <w:ind w:left="4717" w:hanging="180"/>
      </w:pPr>
    </w:lvl>
    <w:lvl w:ilvl="6">
      <w:start w:val="1"/>
      <w:numFmt w:val="decimal"/>
      <w:lvlText w:val="%7."/>
      <w:lvlJc w:val="left"/>
      <w:pPr>
        <w:tabs>
          <w:tab w:val="num" w:pos="0"/>
        </w:tabs>
        <w:ind w:left="5437" w:hanging="360"/>
      </w:pPr>
    </w:lvl>
    <w:lvl w:ilvl="7">
      <w:start w:val="1"/>
      <w:numFmt w:val="lowerLetter"/>
      <w:lvlText w:val="%8."/>
      <w:lvlJc w:val="left"/>
      <w:pPr>
        <w:tabs>
          <w:tab w:val="num" w:pos="0"/>
        </w:tabs>
        <w:ind w:left="6157" w:hanging="360"/>
      </w:pPr>
    </w:lvl>
    <w:lvl w:ilvl="8">
      <w:start w:val="1"/>
      <w:numFmt w:val="lowerRoman"/>
      <w:lvlText w:val="%9."/>
      <w:lvlJc w:val="right"/>
      <w:pPr>
        <w:tabs>
          <w:tab w:val="num" w:pos="0"/>
        </w:tabs>
        <w:ind w:left="6877" w:hanging="180"/>
      </w:pPr>
    </w:lvl>
  </w:abstractNum>
  <w:abstractNum w:abstractNumId="6" w15:restartNumberingAfterBreak="0">
    <w:nsid w:val="4E8A4D99"/>
    <w:multiLevelType w:val="multilevel"/>
    <w:tmpl w:val="6F825314"/>
    <w:lvl w:ilvl="0">
      <w:start w:val="7"/>
      <w:numFmt w:val="bullet"/>
      <w:lvlText w:val="-"/>
      <w:lvlJc w:val="left"/>
      <w:pPr>
        <w:tabs>
          <w:tab w:val="num" w:pos="0"/>
        </w:tabs>
        <w:ind w:left="757" w:hanging="360"/>
      </w:pPr>
      <w:rPr>
        <w:rFonts w:ascii="Garamond" w:hAnsi="Garamond" w:cs="Garamond" w:hint="default"/>
      </w:rPr>
    </w:lvl>
    <w:lvl w:ilvl="1">
      <w:start w:val="1"/>
      <w:numFmt w:val="bullet"/>
      <w:lvlText w:val="o"/>
      <w:lvlJc w:val="left"/>
      <w:pPr>
        <w:tabs>
          <w:tab w:val="num" w:pos="0"/>
        </w:tabs>
        <w:ind w:left="1477" w:hanging="360"/>
      </w:pPr>
      <w:rPr>
        <w:rFonts w:ascii="Courier New" w:hAnsi="Courier New" w:cs="Courier New" w:hint="default"/>
      </w:rPr>
    </w:lvl>
    <w:lvl w:ilvl="2">
      <w:start w:val="1"/>
      <w:numFmt w:val="bullet"/>
      <w:lvlText w:val="▪"/>
      <w:lvlJc w:val="left"/>
      <w:pPr>
        <w:tabs>
          <w:tab w:val="num" w:pos="0"/>
        </w:tabs>
        <w:ind w:left="2197" w:hanging="360"/>
      </w:pPr>
      <w:rPr>
        <w:rFonts w:ascii="Noto Sans Symbols" w:hAnsi="Noto Sans Symbols" w:cs="Noto Sans Symbols" w:hint="default"/>
      </w:rPr>
    </w:lvl>
    <w:lvl w:ilvl="3">
      <w:start w:val="1"/>
      <w:numFmt w:val="bullet"/>
      <w:lvlText w:val="●"/>
      <w:lvlJc w:val="left"/>
      <w:pPr>
        <w:tabs>
          <w:tab w:val="num" w:pos="0"/>
        </w:tabs>
        <w:ind w:left="2917" w:hanging="360"/>
      </w:pPr>
      <w:rPr>
        <w:rFonts w:ascii="Noto Sans Symbols" w:hAnsi="Noto Sans Symbols" w:cs="Noto Sans Symbols" w:hint="default"/>
      </w:rPr>
    </w:lvl>
    <w:lvl w:ilvl="4">
      <w:start w:val="1"/>
      <w:numFmt w:val="bullet"/>
      <w:lvlText w:val="o"/>
      <w:lvlJc w:val="left"/>
      <w:pPr>
        <w:tabs>
          <w:tab w:val="num" w:pos="0"/>
        </w:tabs>
        <w:ind w:left="3637" w:hanging="360"/>
      </w:pPr>
      <w:rPr>
        <w:rFonts w:ascii="Courier New" w:hAnsi="Courier New" w:cs="Courier New" w:hint="default"/>
      </w:rPr>
    </w:lvl>
    <w:lvl w:ilvl="5">
      <w:start w:val="1"/>
      <w:numFmt w:val="bullet"/>
      <w:lvlText w:val="▪"/>
      <w:lvlJc w:val="left"/>
      <w:pPr>
        <w:tabs>
          <w:tab w:val="num" w:pos="0"/>
        </w:tabs>
        <w:ind w:left="4357" w:hanging="360"/>
      </w:pPr>
      <w:rPr>
        <w:rFonts w:ascii="Noto Sans Symbols" w:hAnsi="Noto Sans Symbols" w:cs="Noto Sans Symbols" w:hint="default"/>
      </w:rPr>
    </w:lvl>
    <w:lvl w:ilvl="6">
      <w:start w:val="1"/>
      <w:numFmt w:val="bullet"/>
      <w:lvlText w:val="●"/>
      <w:lvlJc w:val="left"/>
      <w:pPr>
        <w:tabs>
          <w:tab w:val="num" w:pos="0"/>
        </w:tabs>
        <w:ind w:left="5077" w:hanging="360"/>
      </w:pPr>
      <w:rPr>
        <w:rFonts w:ascii="Noto Sans Symbols" w:hAnsi="Noto Sans Symbols" w:cs="Noto Sans Symbols" w:hint="default"/>
      </w:rPr>
    </w:lvl>
    <w:lvl w:ilvl="7">
      <w:start w:val="1"/>
      <w:numFmt w:val="bullet"/>
      <w:lvlText w:val="o"/>
      <w:lvlJc w:val="left"/>
      <w:pPr>
        <w:tabs>
          <w:tab w:val="num" w:pos="0"/>
        </w:tabs>
        <w:ind w:left="5797" w:hanging="360"/>
      </w:pPr>
      <w:rPr>
        <w:rFonts w:ascii="Courier New" w:hAnsi="Courier New" w:cs="Courier New" w:hint="default"/>
      </w:rPr>
    </w:lvl>
    <w:lvl w:ilvl="8">
      <w:start w:val="1"/>
      <w:numFmt w:val="bullet"/>
      <w:lvlText w:val="▪"/>
      <w:lvlJc w:val="left"/>
      <w:pPr>
        <w:tabs>
          <w:tab w:val="num" w:pos="0"/>
        </w:tabs>
        <w:ind w:left="6517" w:hanging="360"/>
      </w:pPr>
      <w:rPr>
        <w:rFonts w:ascii="Noto Sans Symbols" w:hAnsi="Noto Sans Symbols" w:cs="Noto Sans Symbols" w:hint="default"/>
      </w:rPr>
    </w:lvl>
  </w:abstractNum>
  <w:abstractNum w:abstractNumId="7" w15:restartNumberingAfterBreak="0">
    <w:nsid w:val="66AE602E"/>
    <w:multiLevelType w:val="multilevel"/>
    <w:tmpl w:val="2CD68BEA"/>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num w:numId="1">
    <w:abstractNumId w:val="6"/>
  </w:num>
  <w:num w:numId="2">
    <w:abstractNumId w:val="5"/>
  </w:num>
  <w:num w:numId="3">
    <w:abstractNumId w:val="4"/>
  </w:num>
  <w:num w:numId="4">
    <w:abstractNumId w:val="3"/>
  </w:num>
  <w:num w:numId="5">
    <w:abstractNumId w:val="7"/>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39D"/>
    <w:rsid w:val="000D6640"/>
    <w:rsid w:val="00240308"/>
    <w:rsid w:val="00E4739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1DB9A3-914F-4FC6-BCE1-5E65915F4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it-IT" w:eastAsia="it-IT"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bCs/>
      <w:sz w:val="48"/>
      <w:szCs w:val="48"/>
    </w:rPr>
  </w:style>
  <w:style w:type="paragraph" w:styleId="Titolo2">
    <w:name w:val="heading 2"/>
    <w:basedOn w:val="Normale"/>
    <w:next w:val="Normale"/>
    <w:uiPriority w:val="9"/>
    <w:unhideWhenUsed/>
    <w:qFormat/>
    <w:pPr>
      <w:keepNext/>
      <w:keepLines/>
      <w:spacing w:before="360" w:after="80"/>
      <w:outlineLvl w:val="1"/>
    </w:pPr>
    <w:rPr>
      <w:b/>
      <w:bCs/>
      <w:sz w:val="36"/>
      <w:szCs w:val="36"/>
    </w:rPr>
  </w:style>
  <w:style w:type="paragraph" w:styleId="Titolo3">
    <w:name w:val="heading 3"/>
    <w:basedOn w:val="Normale"/>
    <w:next w:val="Normale"/>
    <w:uiPriority w:val="9"/>
    <w:unhideWhenUsed/>
    <w:qFormat/>
    <w:pPr>
      <w:keepNext/>
      <w:jc w:val="center"/>
      <w:outlineLvl w:val="2"/>
    </w:pPr>
    <w:rPr>
      <w:rFonts w:ascii="Times New Roman" w:eastAsia="Times New Roman" w:hAnsi="Times New Roman" w:cs="Times New Roman"/>
      <w:b/>
      <w:bCs/>
      <w:sz w:val="24"/>
      <w:szCs w:val="24"/>
    </w:rPr>
  </w:style>
  <w:style w:type="paragraph" w:styleId="Titolo4">
    <w:name w:val="heading 4"/>
    <w:basedOn w:val="Normale"/>
    <w:next w:val="Normale"/>
    <w:uiPriority w:val="9"/>
    <w:semiHidden/>
    <w:unhideWhenUsed/>
    <w:qFormat/>
    <w:pPr>
      <w:keepNext/>
      <w:keepLines/>
      <w:spacing w:before="240" w:after="40"/>
      <w:outlineLvl w:val="3"/>
    </w:pPr>
    <w:rPr>
      <w:b/>
      <w:bCs/>
      <w:sz w:val="24"/>
      <w:szCs w:val="24"/>
    </w:rPr>
  </w:style>
  <w:style w:type="paragraph" w:styleId="Titolo5">
    <w:name w:val="heading 5"/>
    <w:basedOn w:val="Normale"/>
    <w:next w:val="Normale"/>
    <w:uiPriority w:val="9"/>
    <w:semiHidden/>
    <w:unhideWhenUsed/>
    <w:qFormat/>
    <w:pPr>
      <w:keepNext/>
      <w:keepLines/>
      <w:spacing w:before="220" w:after="40"/>
      <w:outlineLvl w:val="4"/>
    </w:pPr>
    <w:rPr>
      <w:b/>
      <w:bCs/>
    </w:rPr>
  </w:style>
  <w:style w:type="paragraph" w:styleId="Titolo6">
    <w:name w:val="heading 6"/>
    <w:basedOn w:val="Normale"/>
    <w:next w:val="Normale"/>
    <w:uiPriority w:val="9"/>
    <w:semiHidden/>
    <w:unhideWhenUsed/>
    <w:qFormat/>
    <w:pPr>
      <w:keepNext/>
      <w:keepLines/>
      <w:spacing w:before="200" w:after="40"/>
      <w:outlineLvl w:val="5"/>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8D2E0D"/>
    <w:rPr>
      <w:color w:val="0000FF" w:themeColor="hyperlink"/>
      <w:u w:val="single"/>
    </w:rPr>
  </w:style>
  <w:style w:type="character" w:customStyle="1" w:styleId="Collegamentoindiceuser">
    <w:name w:val="Collegamento indice (user)"/>
    <w:qFormat/>
  </w:style>
  <w:style w:type="character" w:customStyle="1" w:styleId="Collegamentoindice">
    <w:name w:val="Collegamento indice"/>
    <w:qFormat/>
  </w:style>
  <w:style w:type="paragraph" w:styleId="Titolo">
    <w:name w:val="Title"/>
    <w:basedOn w:val="Normale"/>
    <w:next w:val="Corpotesto"/>
    <w:uiPriority w:val="10"/>
    <w:qFormat/>
    <w:pPr>
      <w:jc w:val="center"/>
    </w:pPr>
    <w:rPr>
      <w:rFonts w:ascii="Times New Roman" w:eastAsia="Times New Roman" w:hAnsi="Times New Roman" w:cs="Times New Roman"/>
      <w:b/>
      <w:bCs/>
      <w:sz w:val="20"/>
      <w:szCs w:val="20"/>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customStyle="1" w:styleId="Titolouser">
    <w:name w:val="Titolo (user)"/>
    <w:basedOn w:val="Normale"/>
    <w:next w:val="Corpotesto"/>
    <w:qFormat/>
    <w:pPr>
      <w:keepNext/>
      <w:spacing w:before="240" w:after="120"/>
    </w:pPr>
    <w:rPr>
      <w:rFonts w:ascii="Liberation Sans" w:eastAsia="Microsoft YaHei" w:hAnsi="Liberation Sans" w:cs="Lucida Sans"/>
      <w:sz w:val="28"/>
      <w:szCs w:val="28"/>
    </w:rPr>
  </w:style>
  <w:style w:type="paragraph" w:customStyle="1" w:styleId="Indiceuser">
    <w:name w:val="Indice (user)"/>
    <w:basedOn w:val="Normale"/>
    <w:qFormat/>
    <w:pPr>
      <w:suppressLineNumbers/>
    </w:pPr>
    <w:rPr>
      <w:rFonts w:cs="Lucida Sans"/>
    </w:r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 w:type="paragraph" w:styleId="Paragrafoelenco">
    <w:name w:val="List Paragraph"/>
    <w:basedOn w:val="Normale"/>
    <w:uiPriority w:val="34"/>
    <w:qFormat/>
    <w:rsid w:val="00823564"/>
    <w:pPr>
      <w:ind w:left="720"/>
      <w:contextualSpacing/>
    </w:pPr>
  </w:style>
  <w:style w:type="paragraph" w:styleId="Titoloindice">
    <w:name w:val="index heading"/>
    <w:basedOn w:val="Titolouser"/>
  </w:style>
  <w:style w:type="paragraph" w:styleId="Titolosommario">
    <w:name w:val="TOC Heading"/>
    <w:basedOn w:val="Titolo1"/>
    <w:next w:val="Normale"/>
    <w:uiPriority w:val="39"/>
    <w:unhideWhenUsed/>
    <w:qFormat/>
    <w:rsid w:val="008D2E0D"/>
    <w:pPr>
      <w:spacing w:before="240" w:after="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Sommario3">
    <w:name w:val="toc 3"/>
    <w:basedOn w:val="Normale"/>
    <w:next w:val="Normale"/>
    <w:autoRedefine/>
    <w:uiPriority w:val="39"/>
    <w:unhideWhenUsed/>
    <w:rsid w:val="008D2E0D"/>
    <w:pPr>
      <w:spacing w:after="100"/>
      <w:ind w:left="440"/>
    </w:pPr>
  </w:style>
  <w:style w:type="paragraph" w:customStyle="1" w:styleId="Intestazioneepidipaginauser">
    <w:name w:val="Intestazione e piè di pagina (user)"/>
    <w:basedOn w:val="Normale"/>
    <w:qFormat/>
  </w:style>
  <w:style w:type="paragraph" w:customStyle="1" w:styleId="Intestazioneepidipagina">
    <w:name w:val="Intestazione e piè di pagina"/>
    <w:basedOn w:val="Normale"/>
    <w:qFormat/>
  </w:style>
  <w:style w:type="paragraph" w:styleId="Pidipagina">
    <w:name w:val="footer"/>
    <w:basedOn w:val="Intestazioneepidipaginauser"/>
  </w:style>
  <w:style w:type="numbering" w:customStyle="1" w:styleId="Nessunelencouser">
    <w:name w:val="Nessun elenco (user)"/>
    <w:uiPriority w:val="99"/>
    <w:semiHidden/>
    <w:unhideWhenUsed/>
    <w:qFormat/>
  </w:style>
  <w:style w:type="table" w:customStyle="1" w:styleId="TableNormal">
    <w:name w:val="TableNormal"/>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3456</Words>
  <Characters>19703</Characters>
  <Application>Microsoft Office Word</Application>
  <DocSecurity>0</DocSecurity>
  <Lines>164</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ALIANO SALVATORE</dc:creator>
  <dc:description/>
  <cp:lastModifiedBy>Lucia</cp:lastModifiedBy>
  <cp:revision>2</cp:revision>
  <cp:lastPrinted>2026-04-10T13:07:00Z</cp:lastPrinted>
  <dcterms:created xsi:type="dcterms:W3CDTF">2026-05-08T10:31:00Z</dcterms:created>
  <dcterms:modified xsi:type="dcterms:W3CDTF">2026-05-08T10:31:00Z</dcterms:modified>
  <dc:language>it-IT</dc:language>
</cp:coreProperties>
</file>